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6474" w14:textId="77777777" w:rsidR="006B1383" w:rsidRPr="007E029F" w:rsidRDefault="0094632F" w:rsidP="0094632F">
      <w:pPr>
        <w:pStyle w:val="Title"/>
        <w:rPr>
          <w:rFonts w:ascii="Arial" w:hAnsi="Arial" w:cs="Arial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7E029F">
        <w:rPr>
          <w:rFonts w:ascii="Arial" w:hAnsi="Arial" w:cs="Arial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Material Safety Data Sheet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14564471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FD39F" w14:textId="3BE1573D" w:rsidR="006B1383" w:rsidRPr="007E029F" w:rsidRDefault="0044049C" w:rsidP="0044049C">
          <w:pPr>
            <w:pStyle w:val="TOCHeading"/>
            <w:jc w:val="center"/>
            <w:rPr>
              <w:rFonts w:ascii="Arial" w:hAnsi="Arial" w:cs="Arial"/>
              <w:b/>
              <w:bCs/>
              <w:color w:val="0070C0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t>TABLE OF CONTENTS</w:t>
          </w:r>
        </w:p>
        <w:p w14:paraId="13AC12B2" w14:textId="7DC10792" w:rsidR="00264BF5" w:rsidRPr="007E029F" w:rsidRDefault="0044049C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fldChar w:fldCharType="begin"/>
          </w:r>
          <w:r w:rsidRPr="007E029F">
            <w:rPr>
              <w:rFonts w:ascii="Arial" w:hAnsi="Arial" w:cs="Arial"/>
              <w:b/>
              <w:bCs/>
              <w:color w:val="0070C0"/>
            </w:rPr>
            <w:instrText xml:space="preserve"> TOC \o "1-1" \h \z \u </w:instrText>
          </w:r>
          <w:r w:rsidRPr="007E029F">
            <w:rPr>
              <w:rFonts w:ascii="Arial" w:hAnsi="Arial" w:cs="Arial"/>
              <w:b/>
              <w:bCs/>
              <w:color w:val="0070C0"/>
            </w:rPr>
            <w:fldChar w:fldCharType="separate"/>
          </w:r>
          <w:hyperlink w:anchor="_Toc99951572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1. IDENTIFICATION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_Toc99951572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2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4B55F89A" w14:textId="1D45C83C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3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2. HAZARDS IDENTIFICATION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_Toc99951573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2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3C2EFFCA" w14:textId="6795EBB7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4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3. COMPOSITION/INFORMATION ON INGREDIENTS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_Toc99951574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217CC09" w14:textId="4C334260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5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4. FIRST AID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_Toc99951575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5FB6571" w14:textId="66AEF604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6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5. FIRE-FIGHTING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_Toc99951576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3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686F5061" w14:textId="45C19C9F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7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6. ACCIDENTAL RELEASE MEASURES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_Toc99951577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4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16B7926" w14:textId="0248BB23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8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7. HANDLING AND STORAGE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_Toc99951578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4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63136D76" w14:textId="1F160ACD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79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8. EXPOSURE CONTROLS/PERSONAL PROTECTION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_Toc99951579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4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B5B2CB8" w14:textId="12FB6D40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0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9. PHYSICAL AND CHEMICAL PROPERTIES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_Toc99951580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5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3CF7B69" w14:textId="1B2D8799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1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10. STABILITY AND REACTIVITY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_Toc99951581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79BE72FD" w14:textId="6FE88F3F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2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11. TOXICOLOGICAL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_Toc99951582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1A4E39E4" w14:textId="0268AEBC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3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12. ECOLOGICAL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_Toc99951583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460F9B8C" w14:textId="0B39A249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4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13. DISPOSAL CONSIDERATIONS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_Toc99951584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6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5FCF1AC8" w14:textId="30311130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5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14 .TRA NSPORT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_Toc99951585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7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27434B17" w14:textId="284BC208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6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15 .REGULATORY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_Toc99951586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7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5BA4826D" w14:textId="4F65FCBF" w:rsidR="00264BF5" w:rsidRPr="007E029F" w:rsidRDefault="001252CE">
          <w:pPr>
            <w:pStyle w:val="TOC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color w:val="0070C0"/>
            </w:rPr>
          </w:pPr>
          <w:hyperlink w:anchor="_Toc99951587" w:history="1">
            <w:r w:rsidR="00264BF5" w:rsidRPr="007E029F">
              <w:rPr>
                <w:rStyle w:val="Hyperlink"/>
                <w:rFonts w:ascii="Arial" w:hAnsi="Arial" w:cs="Arial"/>
                <w:noProof/>
                <w:color w:val="0070C0"/>
              </w:rPr>
              <w:t>SECTION 16 .OTHER INFORMATION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tab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begin"/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instrText xml:space="preserve"> PAGEREF _Toc99951587 \h </w:instrTex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separate"/>
            </w:r>
            <w:r w:rsidR="000D282E">
              <w:rPr>
                <w:rFonts w:ascii="Arial" w:hAnsi="Arial" w:cs="Arial"/>
                <w:noProof/>
                <w:webHidden/>
                <w:color w:val="0070C0"/>
              </w:rPr>
              <w:t>8</w:t>
            </w:r>
            <w:r w:rsidR="00264BF5" w:rsidRPr="007E029F">
              <w:rPr>
                <w:rFonts w:ascii="Arial" w:hAnsi="Arial" w:cs="Arial"/>
                <w:noProof/>
                <w:webHidden/>
                <w:color w:val="0070C0"/>
              </w:rPr>
              <w:fldChar w:fldCharType="end"/>
            </w:r>
          </w:hyperlink>
        </w:p>
        <w:p w14:paraId="2AF65D4B" w14:textId="512C7DF7" w:rsidR="006B1383" w:rsidRPr="007E029F" w:rsidRDefault="0044049C" w:rsidP="006B1383">
          <w:pPr>
            <w:ind w:left="993" w:right="260"/>
            <w:rPr>
              <w:rFonts w:ascii="Arial" w:hAnsi="Arial" w:cs="Arial"/>
            </w:rPr>
          </w:pPr>
          <w:r w:rsidRPr="007E029F">
            <w:rPr>
              <w:rFonts w:ascii="Arial" w:hAnsi="Arial" w:cs="Arial"/>
              <w:b/>
              <w:bCs/>
              <w:color w:val="0070C0"/>
            </w:rPr>
            <w:fldChar w:fldCharType="end"/>
          </w:r>
        </w:p>
      </w:sdtContent>
    </w:sdt>
    <w:p w14:paraId="32E07E9B" w14:textId="2B53F34C" w:rsidR="006B1383" w:rsidRPr="007E029F" w:rsidRDefault="006B1383" w:rsidP="006B1383">
      <w:pPr>
        <w:rPr>
          <w:rFonts w:ascii="Arial" w:hAnsi="Arial" w:cs="Arial"/>
        </w:rPr>
      </w:pPr>
      <w:r w:rsidRPr="007E029F">
        <w:rPr>
          <w:rFonts w:ascii="Arial" w:hAnsi="Arial" w:cs="Arial"/>
        </w:rPr>
        <w:br w:type="page"/>
      </w:r>
    </w:p>
    <w:p w14:paraId="6965DBDF" w14:textId="77777777" w:rsidR="0094632F" w:rsidRPr="007E029F" w:rsidRDefault="0094632F" w:rsidP="009B69DB">
      <w:pPr>
        <w:pStyle w:val="Heading1"/>
      </w:pPr>
      <w:bookmarkStart w:id="0" w:name="_Toc99951572"/>
      <w:r w:rsidRPr="007E029F">
        <w:lastRenderedPageBreak/>
        <w:t>SECTION 1. IDENTIFICATION</w:t>
      </w:r>
      <w:bookmarkEnd w:id="0"/>
    </w:p>
    <w:p w14:paraId="03B0DE02" w14:textId="37D019E0" w:rsidR="0094632F" w:rsidRPr="007E029F" w:rsidRDefault="0094632F" w:rsidP="0094632F">
      <w:pPr>
        <w:spacing w:before="240"/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Trade Name:</w:t>
      </w:r>
      <w:r w:rsidRPr="007E029F">
        <w:rPr>
          <w:rFonts w:ascii="Arial" w:hAnsi="Arial" w:cs="Arial"/>
          <w:sz w:val="28"/>
          <w:szCs w:val="28"/>
        </w:rPr>
        <w:t xml:space="preserve"> </w:t>
      </w:r>
      <w:r w:rsidR="0036511E">
        <w:rPr>
          <w:rFonts w:ascii="Arial" w:hAnsi="Arial" w:cs="Arial"/>
          <w:sz w:val="28"/>
          <w:szCs w:val="28"/>
        </w:rPr>
        <w:t xml:space="preserve">Ella </w:t>
      </w:r>
      <w:proofErr w:type="spellStart"/>
      <w:r w:rsidR="0036511E">
        <w:rPr>
          <w:rFonts w:ascii="Arial" w:hAnsi="Arial" w:cs="Arial"/>
          <w:sz w:val="28"/>
          <w:szCs w:val="28"/>
        </w:rPr>
        <w:t>Zala</w:t>
      </w:r>
      <w:proofErr w:type="spellEnd"/>
      <w:r w:rsidR="0036511E">
        <w:rPr>
          <w:rFonts w:ascii="Arial" w:hAnsi="Arial" w:cs="Arial"/>
          <w:sz w:val="28"/>
          <w:szCs w:val="28"/>
        </w:rPr>
        <w:t xml:space="preserve"> No Wipe Eggshell Matte Top Coat</w:t>
      </w:r>
    </w:p>
    <w:p w14:paraId="6FF17B1E" w14:textId="34BC524E" w:rsidR="001048F4" w:rsidRPr="007E029F" w:rsidRDefault="004B53BD" w:rsidP="0094632F">
      <w:pPr>
        <w:rPr>
          <w:rFonts w:ascii="Arial" w:hAnsi="Arial" w:cs="Arial"/>
          <w:b/>
          <w:bCs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Product Used:</w:t>
      </w:r>
      <w:r w:rsidRPr="007E029F">
        <w:rPr>
          <w:rFonts w:ascii="Arial" w:hAnsi="Arial" w:cs="Arial"/>
          <w:sz w:val="28"/>
          <w:szCs w:val="28"/>
        </w:rPr>
        <w:t xml:space="preserve"> For Nails</w:t>
      </w:r>
    </w:p>
    <w:p w14:paraId="3341A262" w14:textId="53C96340" w:rsidR="0094632F" w:rsidRPr="007E029F" w:rsidRDefault="0094632F" w:rsidP="0094632F">
      <w:pPr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Company:</w:t>
      </w:r>
      <w:r w:rsidRPr="007E029F">
        <w:rPr>
          <w:rFonts w:ascii="Arial" w:hAnsi="Arial" w:cs="Arial"/>
          <w:sz w:val="28"/>
          <w:szCs w:val="28"/>
        </w:rPr>
        <w:t xml:space="preserve"> Planet Nails Distribution Pty ltd</w:t>
      </w:r>
    </w:p>
    <w:p w14:paraId="77FF5128" w14:textId="77777777" w:rsidR="0094632F" w:rsidRPr="007E029F" w:rsidRDefault="0094632F" w:rsidP="0094632F">
      <w:pPr>
        <w:rPr>
          <w:rFonts w:ascii="Arial" w:hAnsi="Arial" w:cs="Arial"/>
          <w:sz w:val="28"/>
          <w:szCs w:val="28"/>
        </w:rPr>
      </w:pPr>
      <w:r w:rsidRPr="007E029F">
        <w:rPr>
          <w:rFonts w:ascii="Arial" w:hAnsi="Arial" w:cs="Arial"/>
          <w:b/>
          <w:bCs/>
          <w:sz w:val="28"/>
          <w:szCs w:val="28"/>
        </w:rPr>
        <w:t>Add:</w:t>
      </w:r>
      <w:r w:rsidRPr="007E029F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7E029F">
        <w:rPr>
          <w:rFonts w:ascii="Arial" w:hAnsi="Arial" w:cs="Arial"/>
          <w:sz w:val="28"/>
          <w:szCs w:val="28"/>
        </w:rPr>
        <w:t>Conara</w:t>
      </w:r>
      <w:proofErr w:type="spellEnd"/>
      <w:r w:rsidRPr="007E029F">
        <w:rPr>
          <w:rFonts w:ascii="Arial" w:hAnsi="Arial" w:cs="Arial"/>
          <w:sz w:val="28"/>
          <w:szCs w:val="28"/>
        </w:rPr>
        <w:t xml:space="preserve"> Road, </w:t>
      </w:r>
      <w:proofErr w:type="spellStart"/>
      <w:r w:rsidRPr="007E029F">
        <w:rPr>
          <w:rFonts w:ascii="Arial" w:hAnsi="Arial" w:cs="Arial"/>
          <w:sz w:val="28"/>
          <w:szCs w:val="28"/>
        </w:rPr>
        <w:t>Kunda</w:t>
      </w:r>
      <w:proofErr w:type="spellEnd"/>
      <w:r w:rsidRPr="007E029F">
        <w:rPr>
          <w:rFonts w:ascii="Arial" w:hAnsi="Arial" w:cs="Arial"/>
          <w:sz w:val="28"/>
          <w:szCs w:val="28"/>
        </w:rPr>
        <w:t xml:space="preserve"> Park, 4556 Queensland Australia.</w:t>
      </w:r>
    </w:p>
    <w:p w14:paraId="18D95748" w14:textId="591E72F5" w:rsidR="0094632F" w:rsidRPr="007E029F" w:rsidRDefault="0094632F" w:rsidP="0094632F">
      <w:pPr>
        <w:rPr>
          <w:rFonts w:ascii="Arial" w:hAnsi="Arial" w:cs="Arial"/>
          <w:b/>
          <w:bCs/>
          <w:sz w:val="28"/>
          <w:szCs w:val="28"/>
          <w:lang w:val="en-IN"/>
        </w:rPr>
      </w:pPr>
      <w:r w:rsidRPr="007E029F">
        <w:rPr>
          <w:rFonts w:ascii="Arial" w:hAnsi="Arial" w:cs="Arial"/>
          <w:b/>
          <w:bCs/>
          <w:sz w:val="28"/>
          <w:szCs w:val="28"/>
        </w:rPr>
        <w:t>Issue Date</w:t>
      </w:r>
      <w:r w:rsidRPr="007E029F">
        <w:rPr>
          <w:rFonts w:ascii="Arial" w:hAnsi="Arial" w:cs="Arial"/>
          <w:b/>
          <w:bCs/>
          <w:sz w:val="28"/>
          <w:szCs w:val="28"/>
          <w:lang w:val="en-IN"/>
        </w:rPr>
        <w:t xml:space="preserve">: </w:t>
      </w:r>
      <w:r w:rsidR="00926894" w:rsidRPr="007E029F">
        <w:rPr>
          <w:rFonts w:ascii="Arial" w:hAnsi="Arial" w:cs="Arial"/>
          <w:b/>
          <w:bCs/>
          <w:sz w:val="28"/>
          <w:szCs w:val="28"/>
          <w:lang w:val="en-IN"/>
        </w:rPr>
        <w:t>01/02/2022</w:t>
      </w:r>
    </w:p>
    <w:p w14:paraId="32B6FD7B" w14:textId="3780D480" w:rsidR="0094632F" w:rsidRPr="007E029F" w:rsidRDefault="00440FAA" w:rsidP="009B69DB">
      <w:pPr>
        <w:pStyle w:val="Heading1"/>
      </w:pPr>
      <w:bookmarkStart w:id="1" w:name="_Toc99951573"/>
      <w:r w:rsidRPr="007E029F">
        <w:t>SECTION 2. HAZARDS IDENTIFICATION</w:t>
      </w:r>
      <w:bookmarkEnd w:id="1"/>
    </w:p>
    <w:p w14:paraId="78CAB899" w14:textId="77777777" w:rsidR="006E6134" w:rsidRPr="007E029F" w:rsidRDefault="006E6134" w:rsidP="007E029F">
      <w:pPr>
        <w:pStyle w:val="Heading2"/>
      </w:pPr>
      <w:r w:rsidRPr="007E029F">
        <w:t xml:space="preserve">NFPA </w:t>
      </w:r>
      <w:proofErr w:type="gramStart"/>
      <w:r w:rsidRPr="007E029F">
        <w:t>ratings(</w:t>
      </w:r>
      <w:proofErr w:type="gramEnd"/>
      <w:r w:rsidRPr="007E029F">
        <w:t>scale 0-4)</w:t>
      </w:r>
    </w:p>
    <w:p w14:paraId="2DDAE27F" w14:textId="77777777" w:rsidR="006E6134" w:rsidRPr="007E029F" w:rsidRDefault="006E6134" w:rsidP="006E6134">
      <w:pPr>
        <w:rPr>
          <w:rFonts w:ascii="Arial" w:hAnsi="Arial" w:cs="Arial"/>
        </w:rPr>
      </w:pPr>
      <w:r w:rsidRPr="007E029F">
        <w:rPr>
          <w:rFonts w:ascii="Arial" w:hAnsi="Arial" w:cs="Arial"/>
          <w:noProof/>
        </w:rPr>
        <w:drawing>
          <wp:inline distT="0" distB="0" distL="0" distR="0" wp14:anchorId="5F707364" wp14:editId="1EDF625A">
            <wp:extent cx="1242060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09D5" w14:textId="77777777" w:rsidR="006E6134" w:rsidRPr="007E029F" w:rsidRDefault="006E6134" w:rsidP="006E6134">
      <w:pPr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Health=</w:t>
      </w:r>
      <w:proofErr w:type="gramStart"/>
      <w:r w:rsidRPr="007E029F">
        <w:rPr>
          <w:rFonts w:ascii="Arial" w:hAnsi="Arial" w:cs="Arial"/>
          <w:sz w:val="24"/>
          <w:szCs w:val="24"/>
        </w:rPr>
        <w:t>1;Fire</w:t>
      </w:r>
      <w:proofErr w:type="gramEnd"/>
      <w:r w:rsidRPr="007E029F">
        <w:rPr>
          <w:rFonts w:ascii="Arial" w:hAnsi="Arial" w:cs="Arial"/>
          <w:sz w:val="24"/>
          <w:szCs w:val="24"/>
        </w:rPr>
        <w:t>=2;Reactivity=0</w:t>
      </w:r>
    </w:p>
    <w:p w14:paraId="10096FA2" w14:textId="421DA68A" w:rsidR="006E6134" w:rsidRPr="007E029F" w:rsidRDefault="006E6134" w:rsidP="007E029F">
      <w:pPr>
        <w:pStyle w:val="Heading2"/>
      </w:pPr>
      <w:r w:rsidRPr="007E029F">
        <w:t>Classification of the substance or mixture</w:t>
      </w:r>
    </w:p>
    <w:p w14:paraId="550C5678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Classification according to EU </w:t>
      </w:r>
      <w:proofErr w:type="gramStart"/>
      <w:r w:rsidRPr="007E029F">
        <w:rPr>
          <w:rFonts w:ascii="Arial" w:hAnsi="Arial" w:cs="Arial"/>
          <w:sz w:val="24"/>
          <w:szCs w:val="24"/>
        </w:rPr>
        <w:t>Regulation(</w:t>
      </w:r>
      <w:proofErr w:type="gramEnd"/>
      <w:r w:rsidRPr="007E029F">
        <w:rPr>
          <w:rFonts w:ascii="Arial" w:hAnsi="Arial" w:cs="Arial"/>
          <w:sz w:val="24"/>
          <w:szCs w:val="24"/>
        </w:rPr>
        <w:t>EU)No 1272/2008[LCP/GHS];</w:t>
      </w:r>
    </w:p>
    <w:p w14:paraId="555E1169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Skin </w:t>
      </w:r>
      <w:proofErr w:type="gramStart"/>
      <w:r w:rsidRPr="007E029F">
        <w:rPr>
          <w:rFonts w:ascii="Arial" w:hAnsi="Arial" w:cs="Arial"/>
          <w:sz w:val="24"/>
          <w:szCs w:val="24"/>
        </w:rPr>
        <w:t>irritation(</w:t>
      </w:r>
      <w:proofErr w:type="gramEnd"/>
      <w:r w:rsidRPr="007E029F">
        <w:rPr>
          <w:rFonts w:ascii="Arial" w:hAnsi="Arial" w:cs="Arial"/>
          <w:sz w:val="24"/>
          <w:szCs w:val="24"/>
        </w:rPr>
        <w:t>Category 2);</w:t>
      </w:r>
    </w:p>
    <w:p w14:paraId="14CEBE7E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Eye </w:t>
      </w:r>
      <w:proofErr w:type="gramStart"/>
      <w:r w:rsidRPr="007E029F">
        <w:rPr>
          <w:rFonts w:ascii="Arial" w:hAnsi="Arial" w:cs="Arial"/>
          <w:sz w:val="24"/>
          <w:szCs w:val="24"/>
        </w:rPr>
        <w:t>irritation(</w:t>
      </w:r>
      <w:proofErr w:type="gramEnd"/>
      <w:r w:rsidRPr="007E029F">
        <w:rPr>
          <w:rFonts w:ascii="Arial" w:hAnsi="Arial" w:cs="Arial"/>
          <w:sz w:val="24"/>
          <w:szCs w:val="24"/>
        </w:rPr>
        <w:t>Category 2);</w:t>
      </w:r>
    </w:p>
    <w:p w14:paraId="5A6E96FA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Skin </w:t>
      </w:r>
      <w:proofErr w:type="gramStart"/>
      <w:r w:rsidRPr="007E029F">
        <w:rPr>
          <w:rFonts w:ascii="Arial" w:hAnsi="Arial" w:cs="Arial"/>
          <w:sz w:val="24"/>
          <w:szCs w:val="24"/>
        </w:rPr>
        <w:t>sensitization(</w:t>
      </w:r>
      <w:proofErr w:type="gramEnd"/>
      <w:r w:rsidRPr="007E029F">
        <w:rPr>
          <w:rFonts w:ascii="Arial" w:hAnsi="Arial" w:cs="Arial"/>
          <w:sz w:val="24"/>
          <w:szCs w:val="24"/>
        </w:rPr>
        <w:t>Category 1);</w:t>
      </w:r>
    </w:p>
    <w:p w14:paraId="5FA2DF4B" w14:textId="5CFA2AE2" w:rsidR="006E6134" w:rsidRPr="007E029F" w:rsidRDefault="006E6134" w:rsidP="007E029F">
      <w:pPr>
        <w:pStyle w:val="Heading2"/>
      </w:pPr>
      <w:r w:rsidRPr="007E029F">
        <w:t>Hazard statement(s):</w:t>
      </w:r>
    </w:p>
    <w:p w14:paraId="065D1E5C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H315 Causes skin irritation.</w:t>
      </w:r>
    </w:p>
    <w:p w14:paraId="3D62684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H319 Causes eye irritation.</w:t>
      </w:r>
    </w:p>
    <w:p w14:paraId="0347D9E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H317 May cause an allergic skin reaction.</w:t>
      </w:r>
    </w:p>
    <w:p w14:paraId="767FC996" w14:textId="5F92EB65" w:rsidR="006E6134" w:rsidRPr="007E029F" w:rsidRDefault="006E6134" w:rsidP="007E029F">
      <w:pPr>
        <w:pStyle w:val="Heading2"/>
      </w:pPr>
      <w:r w:rsidRPr="007E029F">
        <w:t>Precautionary statements:</w:t>
      </w:r>
    </w:p>
    <w:p w14:paraId="1F6568B2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P264 Wash thoroughly after handling.</w:t>
      </w:r>
    </w:p>
    <w:p w14:paraId="106E401F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P261 Avoid inhale dust/fume/gas/fumes/vapor/spray.</w:t>
      </w:r>
    </w:p>
    <w:p w14:paraId="709E955D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P272 Contaminated work clothing should not be allowed out of the workplace.</w:t>
      </w:r>
    </w:p>
    <w:p w14:paraId="062D733C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32"/>
          <w:szCs w:val="32"/>
        </w:rPr>
      </w:pPr>
      <w:r w:rsidRPr="007E029F">
        <w:rPr>
          <w:rFonts w:ascii="Arial" w:hAnsi="Arial" w:cs="Arial"/>
          <w:sz w:val="24"/>
          <w:szCs w:val="24"/>
        </w:rPr>
        <w:t>P280 Wear protective gloves/protective clothing/Wear protective goggles/face protection.</w:t>
      </w:r>
    </w:p>
    <w:p w14:paraId="115B4F1E" w14:textId="3113CDA4" w:rsidR="006E6134" w:rsidRPr="007E029F" w:rsidRDefault="006E6134" w:rsidP="007E029F">
      <w:pPr>
        <w:pStyle w:val="Heading2"/>
      </w:pPr>
      <w:r w:rsidRPr="007E029F">
        <w:t>Response Precautionary Statements:</w:t>
      </w:r>
    </w:p>
    <w:p w14:paraId="76F6E7EB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P302+352 IF ON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SKIN:Wash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with plenty of soap and water.</w:t>
      </w:r>
    </w:p>
    <w:p w14:paraId="792C2126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P333+P313 If skin irritation or rash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occurs:Get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medical advice/attention.</w:t>
      </w:r>
    </w:p>
    <w:p w14:paraId="2D009588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P362 Take off contaminated clothing and wash before reuse.</w:t>
      </w:r>
    </w:p>
    <w:p w14:paraId="0A755D73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P363 Wash contaminated clothing before reuse.</w:t>
      </w:r>
    </w:p>
    <w:p w14:paraId="538EAC7D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lastRenderedPageBreak/>
        <w:t>P305+P351+P338 IF IN EYES: Rinse cautiously with water for several minutes.</w:t>
      </w:r>
    </w:p>
    <w:p w14:paraId="237C1B97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Remove </w:t>
      </w:r>
      <w:proofErr w:type="spellStart"/>
      <w:r w:rsidRPr="007E029F">
        <w:rPr>
          <w:rFonts w:ascii="Arial" w:hAnsi="Arial" w:cs="Arial"/>
          <w:sz w:val="24"/>
          <w:szCs w:val="24"/>
        </w:rPr>
        <w:t>contactlenses</w:t>
      </w:r>
      <w:proofErr w:type="spellEnd"/>
      <w:r w:rsidRPr="007E029F">
        <w:rPr>
          <w:rFonts w:ascii="Arial" w:hAnsi="Arial" w:cs="Arial"/>
          <w:sz w:val="24"/>
          <w:szCs w:val="24"/>
        </w:rPr>
        <w:t>, if present and easy to do. Continue rinsing.</w:t>
      </w:r>
    </w:p>
    <w:p w14:paraId="6B3B4413" w14:textId="77777777" w:rsidR="006E613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P337+P313 If eye irritation persists: Get medical advice/attention.</w:t>
      </w:r>
    </w:p>
    <w:p w14:paraId="5BAF6D09" w14:textId="14863180" w:rsidR="006E6134" w:rsidRPr="007E029F" w:rsidRDefault="006E6134" w:rsidP="007E029F">
      <w:pPr>
        <w:pStyle w:val="Heading2"/>
      </w:pPr>
      <w:r w:rsidRPr="007E029F">
        <w:t>Disposal Precautionary Statements:</w:t>
      </w:r>
    </w:p>
    <w:p w14:paraId="7229BF55" w14:textId="4901A585" w:rsidR="006644A4" w:rsidRPr="007E029F" w:rsidRDefault="006E6134" w:rsidP="006E6134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P501 Dispose of contents/container in accordance with local/region/national/international regulation.</w:t>
      </w:r>
    </w:p>
    <w:p w14:paraId="46B15927" w14:textId="60B8E77F" w:rsidR="006644A4" w:rsidRPr="007E029F" w:rsidRDefault="00C91755" w:rsidP="00D178B1">
      <w:pPr>
        <w:pStyle w:val="Heading1"/>
      </w:pPr>
      <w:bookmarkStart w:id="2" w:name="_Toc99951574"/>
      <w:r w:rsidRPr="007E029F">
        <w:t>Section 3. Composition/information on ingredients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1945"/>
        <w:gridCol w:w="2677"/>
        <w:gridCol w:w="2463"/>
      </w:tblGrid>
      <w:tr w:rsidR="004B53BD" w:rsidRPr="007E029F" w14:paraId="30E47BE6" w14:textId="77777777" w:rsidTr="00625875">
        <w:trPr>
          <w:trHeight w:val="470"/>
        </w:trPr>
        <w:tc>
          <w:tcPr>
            <w:tcW w:w="1612" w:type="pct"/>
            <w:vAlign w:val="center"/>
          </w:tcPr>
          <w:p w14:paraId="0309E944" w14:textId="77777777" w:rsidR="004B53BD" w:rsidRPr="007E029F" w:rsidRDefault="004B53BD" w:rsidP="00625875">
            <w:pPr>
              <w:pStyle w:val="TableParagraph"/>
              <w:ind w:left="119" w:right="106"/>
              <w:jc w:val="center"/>
              <w:rPr>
                <w:b/>
                <w:color w:val="0070C0"/>
                <w:sz w:val="24"/>
              </w:rPr>
            </w:pPr>
            <w:r w:rsidRPr="007E029F">
              <w:rPr>
                <w:b/>
                <w:color w:val="0070C0"/>
                <w:sz w:val="24"/>
              </w:rPr>
              <w:t>Chemical</w:t>
            </w:r>
            <w:r w:rsidRPr="007E029F">
              <w:rPr>
                <w:b/>
                <w:color w:val="0070C0"/>
                <w:spacing w:val="-1"/>
                <w:sz w:val="24"/>
              </w:rPr>
              <w:t xml:space="preserve"> </w:t>
            </w:r>
            <w:r w:rsidRPr="007E029F">
              <w:rPr>
                <w:b/>
                <w:color w:val="0070C0"/>
                <w:sz w:val="24"/>
              </w:rPr>
              <w:t>Name</w:t>
            </w:r>
          </w:p>
        </w:tc>
        <w:tc>
          <w:tcPr>
            <w:tcW w:w="930" w:type="pct"/>
            <w:vAlign w:val="center"/>
          </w:tcPr>
          <w:p w14:paraId="2E468117" w14:textId="77777777" w:rsidR="004B53BD" w:rsidRPr="007E029F" w:rsidRDefault="004B53BD" w:rsidP="00625875">
            <w:pPr>
              <w:pStyle w:val="TableParagraph"/>
              <w:ind w:left="226" w:right="215"/>
              <w:jc w:val="center"/>
              <w:rPr>
                <w:b/>
                <w:color w:val="0070C0"/>
                <w:sz w:val="24"/>
              </w:rPr>
            </w:pPr>
            <w:r w:rsidRPr="007E029F">
              <w:rPr>
                <w:b/>
                <w:color w:val="0070C0"/>
                <w:sz w:val="24"/>
              </w:rPr>
              <w:t>CAS</w:t>
            </w:r>
            <w:r w:rsidRPr="007E029F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7E029F">
              <w:rPr>
                <w:b/>
                <w:color w:val="0070C0"/>
                <w:sz w:val="24"/>
              </w:rPr>
              <w:t>NO.</w:t>
            </w:r>
          </w:p>
        </w:tc>
        <w:tc>
          <w:tcPr>
            <w:tcW w:w="1280" w:type="pct"/>
            <w:vAlign w:val="center"/>
          </w:tcPr>
          <w:p w14:paraId="61D3095A" w14:textId="77777777" w:rsidR="004B53BD" w:rsidRPr="007E029F" w:rsidRDefault="004B53BD" w:rsidP="00625875">
            <w:pPr>
              <w:pStyle w:val="TableParagraph"/>
              <w:ind w:left="148" w:right="137"/>
              <w:jc w:val="center"/>
              <w:rPr>
                <w:b/>
                <w:color w:val="0070C0"/>
                <w:sz w:val="24"/>
              </w:rPr>
            </w:pPr>
            <w:r w:rsidRPr="007E029F">
              <w:rPr>
                <w:b/>
                <w:color w:val="0070C0"/>
                <w:sz w:val="24"/>
              </w:rPr>
              <w:t>INCI</w:t>
            </w:r>
            <w:r w:rsidRPr="007E029F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7E029F">
              <w:rPr>
                <w:b/>
                <w:color w:val="0070C0"/>
                <w:sz w:val="24"/>
              </w:rPr>
              <w:t>Name</w:t>
            </w:r>
          </w:p>
        </w:tc>
        <w:tc>
          <w:tcPr>
            <w:tcW w:w="1178" w:type="pct"/>
            <w:vAlign w:val="center"/>
          </w:tcPr>
          <w:p w14:paraId="781AA2CD" w14:textId="77777777" w:rsidR="004B53BD" w:rsidRPr="007E029F" w:rsidRDefault="004B53BD" w:rsidP="00625875">
            <w:pPr>
              <w:pStyle w:val="TableParagraph"/>
              <w:ind w:left="203" w:right="189"/>
              <w:jc w:val="center"/>
              <w:rPr>
                <w:b/>
                <w:color w:val="0070C0"/>
                <w:sz w:val="24"/>
              </w:rPr>
            </w:pPr>
            <w:r w:rsidRPr="007E029F">
              <w:rPr>
                <w:b/>
                <w:color w:val="0070C0"/>
                <w:sz w:val="24"/>
              </w:rPr>
              <w:t>Concentration</w:t>
            </w:r>
            <w:r w:rsidRPr="007E029F">
              <w:rPr>
                <w:b/>
                <w:color w:val="0070C0"/>
                <w:spacing w:val="-2"/>
                <w:sz w:val="24"/>
              </w:rPr>
              <w:t xml:space="preserve"> </w:t>
            </w:r>
            <w:r w:rsidRPr="007E029F">
              <w:rPr>
                <w:b/>
                <w:color w:val="0070C0"/>
                <w:sz w:val="24"/>
              </w:rPr>
              <w:t>%</w:t>
            </w:r>
          </w:p>
        </w:tc>
      </w:tr>
      <w:tr w:rsidR="004B53BD" w:rsidRPr="007E029F" w14:paraId="28762EFA" w14:textId="77777777" w:rsidTr="00625875">
        <w:trPr>
          <w:trHeight w:val="467"/>
        </w:trPr>
        <w:tc>
          <w:tcPr>
            <w:tcW w:w="1612" w:type="pct"/>
            <w:vAlign w:val="center"/>
          </w:tcPr>
          <w:p w14:paraId="4871EFE9" w14:textId="77777777" w:rsidR="004B53BD" w:rsidRPr="007E029F" w:rsidRDefault="004B53BD" w:rsidP="00625875">
            <w:pPr>
              <w:pStyle w:val="TableParagraph"/>
              <w:ind w:left="121" w:right="104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Acrylates</w:t>
            </w:r>
            <w:r w:rsidRPr="007E029F">
              <w:rPr>
                <w:spacing w:val="-4"/>
                <w:sz w:val="24"/>
              </w:rPr>
              <w:t xml:space="preserve"> </w:t>
            </w:r>
            <w:r w:rsidRPr="007E029F">
              <w:rPr>
                <w:sz w:val="24"/>
              </w:rPr>
              <w:t>Copolymer</w:t>
            </w:r>
          </w:p>
        </w:tc>
        <w:tc>
          <w:tcPr>
            <w:tcW w:w="930" w:type="pct"/>
            <w:vAlign w:val="center"/>
          </w:tcPr>
          <w:p w14:paraId="560D90D0" w14:textId="77777777" w:rsidR="004B53BD" w:rsidRPr="007E029F" w:rsidRDefault="004B53BD" w:rsidP="00625875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25035-69-2</w:t>
            </w:r>
          </w:p>
        </w:tc>
        <w:tc>
          <w:tcPr>
            <w:tcW w:w="1280" w:type="pct"/>
            <w:vAlign w:val="center"/>
          </w:tcPr>
          <w:p w14:paraId="61796D3A" w14:textId="77777777" w:rsidR="004B53BD" w:rsidRPr="007E029F" w:rsidRDefault="004B53BD" w:rsidP="00625875">
            <w:pPr>
              <w:pStyle w:val="TableParagraph"/>
              <w:ind w:left="152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Acrylates</w:t>
            </w:r>
            <w:r w:rsidRPr="007E029F">
              <w:rPr>
                <w:spacing w:val="-4"/>
                <w:sz w:val="24"/>
              </w:rPr>
              <w:t xml:space="preserve"> </w:t>
            </w:r>
            <w:r w:rsidRPr="007E029F">
              <w:rPr>
                <w:sz w:val="24"/>
              </w:rPr>
              <w:t>Copolymer</w:t>
            </w:r>
          </w:p>
        </w:tc>
        <w:tc>
          <w:tcPr>
            <w:tcW w:w="1178" w:type="pct"/>
            <w:vAlign w:val="center"/>
          </w:tcPr>
          <w:p w14:paraId="0A6038F8" w14:textId="77777777" w:rsidR="004B53BD" w:rsidRPr="007E029F" w:rsidRDefault="004B53BD" w:rsidP="00625875">
            <w:pPr>
              <w:pStyle w:val="TableParagraph"/>
              <w:ind w:left="198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50-52</w:t>
            </w:r>
          </w:p>
        </w:tc>
      </w:tr>
      <w:tr w:rsidR="004B53BD" w:rsidRPr="007E029F" w14:paraId="03C72F27" w14:textId="77777777" w:rsidTr="00625875">
        <w:trPr>
          <w:trHeight w:val="623"/>
        </w:trPr>
        <w:tc>
          <w:tcPr>
            <w:tcW w:w="1612" w:type="pct"/>
            <w:vAlign w:val="center"/>
          </w:tcPr>
          <w:p w14:paraId="58F4FF17" w14:textId="77777777" w:rsidR="004B53BD" w:rsidRPr="007E029F" w:rsidRDefault="004B53BD" w:rsidP="00625875">
            <w:pPr>
              <w:pStyle w:val="TableParagraph"/>
              <w:ind w:left="806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2-Hydroxyethyl</w:t>
            </w:r>
          </w:p>
          <w:p w14:paraId="49EB0021" w14:textId="77777777" w:rsidR="004B53BD" w:rsidRPr="007E029F" w:rsidRDefault="004B53BD" w:rsidP="00625875">
            <w:pPr>
              <w:pStyle w:val="TableParagraph"/>
              <w:ind w:left="921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methacrylate</w:t>
            </w:r>
          </w:p>
        </w:tc>
        <w:tc>
          <w:tcPr>
            <w:tcW w:w="930" w:type="pct"/>
            <w:vAlign w:val="center"/>
          </w:tcPr>
          <w:p w14:paraId="5770C59B" w14:textId="77777777" w:rsidR="004B53BD" w:rsidRPr="007E029F" w:rsidRDefault="004B53BD" w:rsidP="00625875">
            <w:pPr>
              <w:pStyle w:val="TableParagraph"/>
              <w:ind w:left="223" w:right="215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868-77-9</w:t>
            </w:r>
          </w:p>
        </w:tc>
        <w:tc>
          <w:tcPr>
            <w:tcW w:w="1280" w:type="pct"/>
            <w:vAlign w:val="center"/>
          </w:tcPr>
          <w:p w14:paraId="1C59C06D" w14:textId="77777777" w:rsidR="004B53BD" w:rsidRPr="007E029F" w:rsidRDefault="004B53BD" w:rsidP="00625875">
            <w:pPr>
              <w:pStyle w:val="TableParagraph"/>
              <w:ind w:left="474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2-Hydroxyethyl</w:t>
            </w:r>
          </w:p>
          <w:p w14:paraId="3A37C567" w14:textId="77777777" w:rsidR="004B53BD" w:rsidRPr="007E029F" w:rsidRDefault="004B53BD" w:rsidP="00625875">
            <w:pPr>
              <w:pStyle w:val="TableParagraph"/>
              <w:ind w:left="590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methacrylate</w:t>
            </w:r>
          </w:p>
        </w:tc>
        <w:tc>
          <w:tcPr>
            <w:tcW w:w="1178" w:type="pct"/>
            <w:vAlign w:val="center"/>
          </w:tcPr>
          <w:p w14:paraId="089CD5EA" w14:textId="77777777" w:rsidR="004B53BD" w:rsidRPr="007E029F" w:rsidRDefault="004B53BD" w:rsidP="00625875">
            <w:pPr>
              <w:pStyle w:val="TableParagraph"/>
              <w:ind w:left="198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25-27</w:t>
            </w:r>
          </w:p>
        </w:tc>
      </w:tr>
      <w:tr w:rsidR="004B53BD" w:rsidRPr="007E029F" w14:paraId="0ABDA7A9" w14:textId="77777777" w:rsidTr="00625875">
        <w:trPr>
          <w:trHeight w:val="623"/>
        </w:trPr>
        <w:tc>
          <w:tcPr>
            <w:tcW w:w="1612" w:type="pct"/>
            <w:vAlign w:val="center"/>
          </w:tcPr>
          <w:p w14:paraId="0B68A70A" w14:textId="77777777" w:rsidR="004B53BD" w:rsidRPr="007E029F" w:rsidRDefault="004B53BD" w:rsidP="00625875">
            <w:pPr>
              <w:pStyle w:val="TableParagraph"/>
              <w:ind w:left="121" w:right="106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1-hydroxycyclohexyl</w:t>
            </w:r>
            <w:r w:rsidRPr="007E029F">
              <w:rPr>
                <w:spacing w:val="-2"/>
                <w:sz w:val="24"/>
              </w:rPr>
              <w:t xml:space="preserve"> </w:t>
            </w:r>
            <w:r w:rsidRPr="007E029F">
              <w:rPr>
                <w:sz w:val="24"/>
              </w:rPr>
              <w:t>phenyl</w:t>
            </w:r>
          </w:p>
          <w:p w14:paraId="48DCE321" w14:textId="77777777" w:rsidR="004B53BD" w:rsidRPr="007E029F" w:rsidRDefault="004B53BD" w:rsidP="00625875">
            <w:pPr>
              <w:pStyle w:val="TableParagraph"/>
              <w:ind w:left="117" w:right="106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ketone</w:t>
            </w:r>
          </w:p>
        </w:tc>
        <w:tc>
          <w:tcPr>
            <w:tcW w:w="930" w:type="pct"/>
            <w:vAlign w:val="center"/>
          </w:tcPr>
          <w:p w14:paraId="5D02412D" w14:textId="77777777" w:rsidR="004B53BD" w:rsidRPr="007E029F" w:rsidRDefault="004B53BD" w:rsidP="00625875">
            <w:pPr>
              <w:pStyle w:val="TableParagraph"/>
              <w:ind w:left="223" w:right="215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947-19-3</w:t>
            </w:r>
          </w:p>
        </w:tc>
        <w:tc>
          <w:tcPr>
            <w:tcW w:w="1280" w:type="pct"/>
            <w:vAlign w:val="center"/>
          </w:tcPr>
          <w:p w14:paraId="3A8B5389" w14:textId="77777777" w:rsidR="004B53BD" w:rsidRPr="007E029F" w:rsidRDefault="004B53BD" w:rsidP="00625875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1-hydroxycyclohexyl</w:t>
            </w:r>
          </w:p>
          <w:p w14:paraId="0E106FBC" w14:textId="77777777" w:rsidR="004B53BD" w:rsidRPr="007E029F" w:rsidRDefault="004B53BD" w:rsidP="00625875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phenyl</w:t>
            </w:r>
            <w:r w:rsidRPr="007E029F">
              <w:rPr>
                <w:spacing w:val="-2"/>
                <w:sz w:val="24"/>
              </w:rPr>
              <w:t xml:space="preserve"> </w:t>
            </w:r>
            <w:r w:rsidRPr="007E029F">
              <w:rPr>
                <w:sz w:val="24"/>
              </w:rPr>
              <w:t>ketone</w:t>
            </w:r>
          </w:p>
        </w:tc>
        <w:tc>
          <w:tcPr>
            <w:tcW w:w="1178" w:type="pct"/>
            <w:vAlign w:val="center"/>
          </w:tcPr>
          <w:p w14:paraId="279B4548" w14:textId="77777777" w:rsidR="004B53BD" w:rsidRPr="007E029F" w:rsidRDefault="004B53BD" w:rsidP="00625875">
            <w:pPr>
              <w:pStyle w:val="TableParagraph"/>
              <w:ind w:left="200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2-3</w:t>
            </w:r>
          </w:p>
        </w:tc>
      </w:tr>
      <w:tr w:rsidR="004B53BD" w:rsidRPr="007E029F" w14:paraId="1D1FF8C9" w14:textId="77777777" w:rsidTr="00625875">
        <w:trPr>
          <w:trHeight w:val="935"/>
        </w:trPr>
        <w:tc>
          <w:tcPr>
            <w:tcW w:w="1612" w:type="pct"/>
            <w:vAlign w:val="center"/>
          </w:tcPr>
          <w:p w14:paraId="28D5C355" w14:textId="77777777" w:rsidR="004B53BD" w:rsidRPr="007E029F" w:rsidRDefault="004B53BD" w:rsidP="00625875">
            <w:pPr>
              <w:pStyle w:val="TableParagraph"/>
              <w:spacing w:line="271" w:lineRule="auto"/>
              <w:ind w:left="479" w:hanging="336"/>
              <w:jc w:val="center"/>
              <w:rPr>
                <w:sz w:val="24"/>
              </w:rPr>
            </w:pPr>
            <w:proofErr w:type="gramStart"/>
            <w:r w:rsidRPr="007E029F">
              <w:rPr>
                <w:spacing w:val="-1"/>
                <w:sz w:val="24"/>
              </w:rPr>
              <w:t>Diphenyl(</w:t>
            </w:r>
            <w:proofErr w:type="gramEnd"/>
            <w:r w:rsidRPr="007E029F">
              <w:rPr>
                <w:spacing w:val="-1"/>
                <w:sz w:val="24"/>
              </w:rPr>
              <w:t>2,4,6-trimethylben</w:t>
            </w:r>
            <w:r w:rsidRPr="007E029F">
              <w:rPr>
                <w:spacing w:val="-64"/>
                <w:sz w:val="24"/>
              </w:rPr>
              <w:t xml:space="preserve"> </w:t>
            </w:r>
            <w:proofErr w:type="spellStart"/>
            <w:r w:rsidRPr="007E029F">
              <w:rPr>
                <w:sz w:val="24"/>
              </w:rPr>
              <w:t>zoyl</w:t>
            </w:r>
            <w:proofErr w:type="spellEnd"/>
            <w:r w:rsidRPr="007E029F">
              <w:rPr>
                <w:sz w:val="24"/>
              </w:rPr>
              <w:t>)phosphine</w:t>
            </w:r>
            <w:r w:rsidRPr="007E029F">
              <w:rPr>
                <w:spacing w:val="-3"/>
                <w:sz w:val="24"/>
              </w:rPr>
              <w:t xml:space="preserve"> </w:t>
            </w:r>
            <w:r w:rsidRPr="007E029F">
              <w:rPr>
                <w:sz w:val="24"/>
              </w:rPr>
              <w:t>oxide</w:t>
            </w:r>
          </w:p>
        </w:tc>
        <w:tc>
          <w:tcPr>
            <w:tcW w:w="930" w:type="pct"/>
            <w:vAlign w:val="center"/>
          </w:tcPr>
          <w:p w14:paraId="2BB34B8D" w14:textId="77777777" w:rsidR="004B53BD" w:rsidRPr="007E029F" w:rsidRDefault="004B53BD" w:rsidP="00625875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  <w:p w14:paraId="1866387E" w14:textId="77777777" w:rsidR="004B53BD" w:rsidRPr="007E029F" w:rsidRDefault="004B53BD" w:rsidP="00625875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75980-60-8</w:t>
            </w:r>
          </w:p>
        </w:tc>
        <w:tc>
          <w:tcPr>
            <w:tcW w:w="1280" w:type="pct"/>
            <w:vAlign w:val="center"/>
          </w:tcPr>
          <w:p w14:paraId="2491EC34" w14:textId="77777777" w:rsidR="004B53BD" w:rsidRPr="007E029F" w:rsidRDefault="004B53BD" w:rsidP="00625875">
            <w:pPr>
              <w:pStyle w:val="TableParagraph"/>
              <w:spacing w:line="271" w:lineRule="auto"/>
              <w:ind w:left="117" w:right="101" w:firstLine="2"/>
              <w:jc w:val="center"/>
              <w:rPr>
                <w:sz w:val="24"/>
              </w:rPr>
            </w:pPr>
            <w:proofErr w:type="gramStart"/>
            <w:r w:rsidRPr="007E029F">
              <w:rPr>
                <w:sz w:val="24"/>
              </w:rPr>
              <w:t>Diphenyl(</w:t>
            </w:r>
            <w:proofErr w:type="gramEnd"/>
            <w:r w:rsidRPr="007E029F">
              <w:rPr>
                <w:sz w:val="24"/>
              </w:rPr>
              <w:t>2,4,6-trimet</w:t>
            </w:r>
            <w:r w:rsidRPr="007E029F">
              <w:rPr>
                <w:spacing w:val="1"/>
                <w:sz w:val="24"/>
              </w:rPr>
              <w:t xml:space="preserve"> </w:t>
            </w:r>
            <w:proofErr w:type="spellStart"/>
            <w:r w:rsidRPr="007E029F">
              <w:rPr>
                <w:spacing w:val="-1"/>
                <w:sz w:val="24"/>
              </w:rPr>
              <w:t>hylbenzoyl</w:t>
            </w:r>
            <w:proofErr w:type="spellEnd"/>
            <w:r w:rsidRPr="007E029F">
              <w:rPr>
                <w:spacing w:val="-1"/>
                <w:sz w:val="24"/>
              </w:rPr>
              <w:t>)phosphine</w:t>
            </w:r>
          </w:p>
          <w:p w14:paraId="0D1F43BC" w14:textId="77777777" w:rsidR="004B53BD" w:rsidRPr="007E029F" w:rsidRDefault="004B53BD" w:rsidP="00625875">
            <w:pPr>
              <w:pStyle w:val="TableParagraph"/>
              <w:spacing w:line="275" w:lineRule="exact"/>
              <w:ind w:left="145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oxide</w:t>
            </w:r>
          </w:p>
        </w:tc>
        <w:tc>
          <w:tcPr>
            <w:tcW w:w="1178" w:type="pct"/>
            <w:vAlign w:val="center"/>
          </w:tcPr>
          <w:p w14:paraId="037649A9" w14:textId="77777777" w:rsidR="004B53BD" w:rsidRPr="007E029F" w:rsidRDefault="004B53BD" w:rsidP="00625875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  <w:p w14:paraId="6BF47B02" w14:textId="77777777" w:rsidR="004B53BD" w:rsidRPr="007E029F" w:rsidRDefault="004B53BD" w:rsidP="00625875">
            <w:pPr>
              <w:pStyle w:val="TableParagraph"/>
              <w:ind w:left="198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4-5</w:t>
            </w:r>
          </w:p>
        </w:tc>
      </w:tr>
      <w:tr w:rsidR="004B53BD" w:rsidRPr="007E029F" w14:paraId="2098D5A4" w14:textId="77777777" w:rsidTr="00625875">
        <w:trPr>
          <w:trHeight w:val="311"/>
        </w:trPr>
        <w:tc>
          <w:tcPr>
            <w:tcW w:w="1612" w:type="pct"/>
            <w:vAlign w:val="center"/>
          </w:tcPr>
          <w:p w14:paraId="6E97F0A3" w14:textId="77777777" w:rsidR="004B53BD" w:rsidRPr="007E029F" w:rsidRDefault="004B53BD" w:rsidP="00625875">
            <w:pPr>
              <w:pStyle w:val="TableParagraph"/>
              <w:spacing w:line="275" w:lineRule="exact"/>
              <w:ind w:left="117" w:right="106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PETMP</w:t>
            </w:r>
          </w:p>
        </w:tc>
        <w:tc>
          <w:tcPr>
            <w:tcW w:w="930" w:type="pct"/>
            <w:vAlign w:val="center"/>
          </w:tcPr>
          <w:p w14:paraId="55F79134" w14:textId="77777777" w:rsidR="004B53BD" w:rsidRPr="007E029F" w:rsidRDefault="004B53BD" w:rsidP="00625875">
            <w:pPr>
              <w:pStyle w:val="TableParagraph"/>
              <w:spacing w:line="275" w:lineRule="exact"/>
              <w:ind w:left="226" w:right="213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7575-23-7</w:t>
            </w:r>
          </w:p>
        </w:tc>
        <w:tc>
          <w:tcPr>
            <w:tcW w:w="1280" w:type="pct"/>
            <w:vAlign w:val="center"/>
          </w:tcPr>
          <w:p w14:paraId="158A58A0" w14:textId="77777777" w:rsidR="004B53BD" w:rsidRPr="007E029F" w:rsidRDefault="004B53BD" w:rsidP="00625875">
            <w:pPr>
              <w:pStyle w:val="TableParagraph"/>
              <w:spacing w:line="275" w:lineRule="exact"/>
              <w:ind w:left="146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PETMP</w:t>
            </w:r>
          </w:p>
        </w:tc>
        <w:tc>
          <w:tcPr>
            <w:tcW w:w="1178" w:type="pct"/>
            <w:vAlign w:val="center"/>
          </w:tcPr>
          <w:p w14:paraId="7776B8B4" w14:textId="77777777" w:rsidR="004B53BD" w:rsidRPr="007E029F" w:rsidRDefault="004B53BD" w:rsidP="00625875">
            <w:pPr>
              <w:pStyle w:val="TableParagraph"/>
              <w:spacing w:line="275" w:lineRule="exact"/>
              <w:ind w:left="200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9-10</w:t>
            </w:r>
          </w:p>
        </w:tc>
      </w:tr>
      <w:tr w:rsidR="004B53BD" w:rsidRPr="007E029F" w14:paraId="1E44930B" w14:textId="77777777" w:rsidTr="00625875">
        <w:trPr>
          <w:trHeight w:val="314"/>
        </w:trPr>
        <w:tc>
          <w:tcPr>
            <w:tcW w:w="1612" w:type="pct"/>
            <w:vAlign w:val="center"/>
          </w:tcPr>
          <w:p w14:paraId="2248BEFC" w14:textId="77777777" w:rsidR="004B53BD" w:rsidRPr="007E029F" w:rsidRDefault="004B53BD" w:rsidP="00625875">
            <w:pPr>
              <w:pStyle w:val="TableParagraph"/>
              <w:ind w:left="117" w:right="106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Silicon</w:t>
            </w:r>
            <w:r w:rsidRPr="007E029F">
              <w:rPr>
                <w:spacing w:val="-3"/>
                <w:sz w:val="24"/>
              </w:rPr>
              <w:t xml:space="preserve"> </w:t>
            </w:r>
            <w:r w:rsidRPr="007E029F">
              <w:rPr>
                <w:sz w:val="24"/>
              </w:rPr>
              <w:t>dioxide</w:t>
            </w:r>
          </w:p>
        </w:tc>
        <w:tc>
          <w:tcPr>
            <w:tcW w:w="930" w:type="pct"/>
            <w:vAlign w:val="center"/>
          </w:tcPr>
          <w:p w14:paraId="5BD38B2F" w14:textId="77777777" w:rsidR="004B53BD" w:rsidRPr="007E029F" w:rsidRDefault="004B53BD" w:rsidP="00625875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112945-52-5</w:t>
            </w:r>
          </w:p>
        </w:tc>
        <w:tc>
          <w:tcPr>
            <w:tcW w:w="1280" w:type="pct"/>
            <w:vAlign w:val="center"/>
          </w:tcPr>
          <w:p w14:paraId="5D8F6868" w14:textId="77777777" w:rsidR="004B53BD" w:rsidRPr="007E029F" w:rsidRDefault="004B53BD" w:rsidP="00625875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Silicon</w:t>
            </w:r>
            <w:r w:rsidRPr="007E029F">
              <w:rPr>
                <w:spacing w:val="-3"/>
                <w:sz w:val="24"/>
              </w:rPr>
              <w:t xml:space="preserve"> </w:t>
            </w:r>
            <w:r w:rsidRPr="007E029F">
              <w:rPr>
                <w:sz w:val="24"/>
              </w:rPr>
              <w:t>dioxide</w:t>
            </w:r>
          </w:p>
        </w:tc>
        <w:tc>
          <w:tcPr>
            <w:tcW w:w="1178" w:type="pct"/>
            <w:vAlign w:val="center"/>
          </w:tcPr>
          <w:p w14:paraId="61A551EB" w14:textId="77777777" w:rsidR="004B53BD" w:rsidRPr="007E029F" w:rsidRDefault="004B53BD" w:rsidP="00625875">
            <w:pPr>
              <w:pStyle w:val="TableParagraph"/>
              <w:ind w:left="200" w:right="189"/>
              <w:jc w:val="center"/>
              <w:rPr>
                <w:sz w:val="24"/>
              </w:rPr>
            </w:pPr>
            <w:r w:rsidRPr="007E029F">
              <w:rPr>
                <w:sz w:val="24"/>
              </w:rPr>
              <w:t>2-3</w:t>
            </w:r>
          </w:p>
        </w:tc>
      </w:tr>
    </w:tbl>
    <w:p w14:paraId="1261BA66" w14:textId="2F3AFEF7" w:rsidR="00773F14" w:rsidRPr="007E029F" w:rsidRDefault="00773F14" w:rsidP="009B69DB">
      <w:pPr>
        <w:pStyle w:val="Heading1"/>
      </w:pPr>
      <w:bookmarkStart w:id="3" w:name="_Toc99951575"/>
      <w:r w:rsidRPr="007E029F">
        <w:t>Section 4. First aid measures</w:t>
      </w:r>
      <w:bookmarkEnd w:id="3"/>
    </w:p>
    <w:p w14:paraId="3A67D604" w14:textId="4F8F06E3" w:rsidR="00864AF5" w:rsidRPr="007E029F" w:rsidRDefault="00864AF5" w:rsidP="007E029F">
      <w:pPr>
        <w:pStyle w:val="Heading2"/>
      </w:pPr>
      <w:r w:rsidRPr="007E029F">
        <w:t>After inhalation</w:t>
      </w:r>
    </w:p>
    <w:p w14:paraId="1AFF6E07" w14:textId="7B17439F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If there have unwell feeling, supply fresh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air;if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breathing has stopped immediately Artificial respiration and seek medical advice</w:t>
      </w:r>
    </w:p>
    <w:p w14:paraId="542CB711" w14:textId="11A05C06" w:rsidR="00864AF5" w:rsidRPr="007E029F" w:rsidRDefault="00864AF5" w:rsidP="007E029F">
      <w:pPr>
        <w:pStyle w:val="Heading2"/>
      </w:pPr>
      <w:r w:rsidRPr="007E029F">
        <w:t>After skin contact</w:t>
      </w:r>
    </w:p>
    <w:p w14:paraId="5277EDAD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Take off immediately all contaminated clothing, Timely wash with water and rinse thoroughly.</w:t>
      </w:r>
    </w:p>
    <w:p w14:paraId="5DE5F244" w14:textId="73BCA81A" w:rsidR="00864AF5" w:rsidRPr="007E029F" w:rsidRDefault="00864AF5" w:rsidP="007E029F">
      <w:pPr>
        <w:pStyle w:val="Heading2"/>
      </w:pPr>
      <w:r w:rsidRPr="007E029F">
        <w:t>After eye contact</w:t>
      </w:r>
    </w:p>
    <w:p w14:paraId="055406A7" w14:textId="6D587A20" w:rsidR="008C77C9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Immediately flush eyes with plenty of water for a few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minutes,occasionally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lifting the upper and lower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eyelids.If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the symptoms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can not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be eased Get medical aid immediately.</w:t>
      </w:r>
    </w:p>
    <w:p w14:paraId="408FFF4F" w14:textId="765201E0" w:rsidR="00F64E5E" w:rsidRPr="007E029F" w:rsidRDefault="00F64E5E" w:rsidP="009B69DB">
      <w:pPr>
        <w:pStyle w:val="Heading1"/>
      </w:pPr>
      <w:bookmarkStart w:id="4" w:name="_Toc99951576"/>
      <w:r w:rsidRPr="007E029F">
        <w:t>Section 5. Fire-fighting measures</w:t>
      </w:r>
      <w:bookmarkEnd w:id="4"/>
    </w:p>
    <w:p w14:paraId="36E3AB4A" w14:textId="7FEDF44C" w:rsidR="00864AF5" w:rsidRPr="007E029F" w:rsidRDefault="00864AF5" w:rsidP="007E029F">
      <w:pPr>
        <w:pStyle w:val="Heading2"/>
      </w:pPr>
      <w:r w:rsidRPr="007E029F">
        <w:t>Protective equipment</w:t>
      </w:r>
    </w:p>
    <w:p w14:paraId="40983F1E" w14:textId="3EFFCDB9" w:rsidR="00864AF5" w:rsidRPr="007E029F" w:rsidRDefault="00864AF5" w:rsidP="00864AF5">
      <w:pPr>
        <w:rPr>
          <w:rFonts w:ascii="Arial" w:hAnsi="Arial" w:cs="Arial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Wear fully protective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suit.Mouth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respiratory protective device. Do not inhale explosion gases or combustion gases</w:t>
      </w:r>
      <w:r w:rsidRPr="007E029F">
        <w:rPr>
          <w:rFonts w:ascii="Arial" w:hAnsi="Arial" w:cs="Arial"/>
          <w:lang w:val="en-IN"/>
        </w:rPr>
        <w:t>.</w:t>
      </w:r>
    </w:p>
    <w:p w14:paraId="2BBA2C3B" w14:textId="16006443" w:rsidR="00864AF5" w:rsidRPr="007E029F" w:rsidRDefault="00864AF5" w:rsidP="007E029F">
      <w:pPr>
        <w:pStyle w:val="Heading2"/>
      </w:pPr>
      <w:r w:rsidRPr="007E029F">
        <w:lastRenderedPageBreak/>
        <w:t>Extinguishing Media</w:t>
      </w:r>
    </w:p>
    <w:p w14:paraId="203F8E1B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Sand,extinguishing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powder,Dry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Chemical.</w:t>
      </w:r>
    </w:p>
    <w:p w14:paraId="413B5DE7" w14:textId="10D8A5AF" w:rsidR="00864AF5" w:rsidRPr="007E029F" w:rsidRDefault="00864AF5" w:rsidP="007E029F">
      <w:pPr>
        <w:pStyle w:val="Heading2"/>
      </w:pPr>
      <w:r w:rsidRPr="007E029F">
        <w:t>Flash point</w:t>
      </w:r>
    </w:p>
    <w:p w14:paraId="1D8E3452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105</w:t>
      </w:r>
      <w:r w:rsidRPr="007E029F">
        <w:rPr>
          <w:rFonts w:ascii="Cambria Math" w:hAnsi="Cambria Math" w:cs="Cambria Math"/>
          <w:sz w:val="24"/>
          <w:szCs w:val="24"/>
          <w:lang w:val="en-IN"/>
        </w:rPr>
        <w:t>℃</w:t>
      </w:r>
    </w:p>
    <w:p w14:paraId="7379F99D" w14:textId="54D2B289" w:rsidR="00864AF5" w:rsidRPr="007E029F" w:rsidRDefault="00864AF5" w:rsidP="007E029F">
      <w:pPr>
        <w:pStyle w:val="Heading2"/>
      </w:pPr>
      <w:r w:rsidRPr="007E029F">
        <w:t>Hazardous characteristics</w:t>
      </w:r>
    </w:p>
    <w:p w14:paraId="2969F559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Heating will release irritation and harmful gases or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fumes,Negligible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explosion hazard.</w:t>
      </w:r>
    </w:p>
    <w:p w14:paraId="60F60DCE" w14:textId="3B35B951" w:rsidR="00864AF5" w:rsidRPr="007E029F" w:rsidRDefault="00864AF5" w:rsidP="007E029F">
      <w:pPr>
        <w:pStyle w:val="Heading2"/>
      </w:pPr>
      <w:r w:rsidRPr="007E029F">
        <w:t>Special fire &amp; explosion hazard</w:t>
      </w:r>
    </w:p>
    <w:p w14:paraId="431EF013" w14:textId="5A7C73B2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Not available.</w:t>
      </w:r>
    </w:p>
    <w:p w14:paraId="3E804009" w14:textId="171327DA" w:rsidR="00D741FA" w:rsidRPr="007E029F" w:rsidRDefault="004253DA" w:rsidP="009B69DB">
      <w:pPr>
        <w:pStyle w:val="Heading1"/>
      </w:pPr>
      <w:bookmarkStart w:id="5" w:name="_Toc99951577"/>
      <w:r w:rsidRPr="007E029F">
        <w:t>Section 6. Accidental release measures</w:t>
      </w:r>
      <w:bookmarkEnd w:id="5"/>
    </w:p>
    <w:p w14:paraId="29E21B7F" w14:textId="772FEA05" w:rsidR="00864AF5" w:rsidRPr="007E029F" w:rsidRDefault="00864AF5" w:rsidP="007E029F">
      <w:pPr>
        <w:pStyle w:val="Heading2"/>
      </w:pPr>
      <w:r w:rsidRPr="007E029F">
        <w:t>Person-related safety precautions</w:t>
      </w:r>
    </w:p>
    <w:p w14:paraId="624595B3" w14:textId="77777777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Wear protective equipment.</w:t>
      </w:r>
    </w:p>
    <w:p w14:paraId="228CE792" w14:textId="61CB6FE2" w:rsidR="00864AF5" w:rsidRPr="007E029F" w:rsidRDefault="00864AF5" w:rsidP="007E029F">
      <w:pPr>
        <w:pStyle w:val="Heading2"/>
      </w:pPr>
      <w:r w:rsidRPr="007E029F">
        <w:t>Measures for environmental protection</w:t>
      </w:r>
    </w:p>
    <w:p w14:paraId="1958F6AE" w14:textId="73BBB406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Do not allow much product to reach sewage or any water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course.Inform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respective</w:t>
      </w:r>
      <w:r w:rsidR="000C0250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authorities in case of seepage into water course or sewage system.</w:t>
      </w:r>
    </w:p>
    <w:p w14:paraId="04FC267D" w14:textId="3AC6F295" w:rsidR="00864AF5" w:rsidRPr="007E029F" w:rsidRDefault="00864AF5" w:rsidP="007E029F">
      <w:pPr>
        <w:pStyle w:val="Heading2"/>
      </w:pPr>
      <w:r w:rsidRPr="007E029F">
        <w:t>Clean-up methods</w:t>
      </w:r>
    </w:p>
    <w:p w14:paraId="54EC9E5A" w14:textId="45658CAE" w:rsidR="00864AF5" w:rsidRPr="007E029F" w:rsidRDefault="00864AF5" w:rsidP="00864AF5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Refer to Section 8 "Exposure Controls / Personal Protection" prior to clean up. Soak up with</w:t>
      </w:r>
      <w:r w:rsidR="000C0250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inert absorbent. Store in a partly filled, closed container until disposal</w:t>
      </w:r>
    </w:p>
    <w:p w14:paraId="43D73EA8" w14:textId="63D2BA10" w:rsidR="00B85092" w:rsidRPr="007E029F" w:rsidRDefault="00B85092" w:rsidP="009B69DB">
      <w:pPr>
        <w:pStyle w:val="Heading1"/>
      </w:pPr>
      <w:bookmarkStart w:id="6" w:name="_Toc99951578"/>
      <w:r w:rsidRPr="007E029F">
        <w:t>Section 7. Handling and storage</w:t>
      </w:r>
      <w:bookmarkEnd w:id="6"/>
    </w:p>
    <w:p w14:paraId="59F71BFE" w14:textId="51F94F80" w:rsidR="000C0250" w:rsidRPr="007E029F" w:rsidRDefault="000C0250" w:rsidP="007E029F">
      <w:pPr>
        <w:pStyle w:val="Heading2"/>
      </w:pPr>
      <w:r w:rsidRPr="007E029F">
        <w:t>Information for safe handling</w:t>
      </w:r>
    </w:p>
    <w:p w14:paraId="1B5369A0" w14:textId="21853F24" w:rsidR="000C0250" w:rsidRPr="007E029F" w:rsidRDefault="000C0250" w:rsidP="000C0250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Alright production, enhance ventilation, provide safety shower and eyewash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equipment.Handing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products need to wear protective gloves and respiratory protection equipment.</w:t>
      </w:r>
    </w:p>
    <w:p w14:paraId="2638E343" w14:textId="3261252C" w:rsidR="000C0250" w:rsidRPr="007E029F" w:rsidRDefault="000C0250" w:rsidP="000C0250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Prevent contact with eyes, skin and clothing. Do not breathe vapor and mist. Wash</w:t>
      </w:r>
      <w:r w:rsidR="002F10F6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thoroughly after handling. DO NOT heat or spray. Use only with adequate ventilation. Refer</w:t>
      </w:r>
      <w:r w:rsidR="002F10F6" w:rsidRPr="007E029F">
        <w:rPr>
          <w:rFonts w:ascii="Arial" w:hAnsi="Arial" w:cs="Arial"/>
          <w:sz w:val="24"/>
          <w:szCs w:val="24"/>
          <w:lang w:val="en-IN"/>
        </w:rPr>
        <w:t xml:space="preserve"> </w:t>
      </w:r>
      <w:r w:rsidRPr="007E029F">
        <w:rPr>
          <w:rFonts w:ascii="Arial" w:hAnsi="Arial" w:cs="Arial"/>
          <w:sz w:val="24"/>
          <w:szCs w:val="24"/>
          <w:lang w:val="en-IN"/>
        </w:rPr>
        <w:t>to Section 8. Use only in area provided with appropriate exhaust ventilation.</w:t>
      </w:r>
    </w:p>
    <w:p w14:paraId="58A17A57" w14:textId="2AEDE035" w:rsidR="002F10F6" w:rsidRPr="007E029F" w:rsidRDefault="002F10F6" w:rsidP="007E029F">
      <w:pPr>
        <w:pStyle w:val="Heading2"/>
      </w:pPr>
      <w:r w:rsidRPr="007E029F">
        <w:t>Storage</w:t>
      </w:r>
    </w:p>
    <w:p w14:paraId="45DF48A0" w14:textId="210A1DC3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Requirements to be met by storerooms and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receptacles:Store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in a cool location.</w:t>
      </w:r>
    </w:p>
    <w:p w14:paraId="5D029164" w14:textId="2972C548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Information about storage in one common storage facility: Store away from fire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source,heat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source and oxidizing materials.</w:t>
      </w:r>
    </w:p>
    <w:p w14:paraId="53DBE359" w14:textId="2EBAFA67" w:rsidR="002F10F6" w:rsidRPr="007E029F" w:rsidRDefault="002F10F6" w:rsidP="002F10F6">
      <w:pPr>
        <w:pStyle w:val="ListParagraph"/>
        <w:numPr>
          <w:ilvl w:val="0"/>
          <w:numId w:val="4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Further information about storage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conditions:Keep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container tightly sealed, store in cool, dry conditions in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well sealed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receptacles.</w:t>
      </w:r>
    </w:p>
    <w:p w14:paraId="03EFD02B" w14:textId="61B47483" w:rsidR="009F7850" w:rsidRPr="007E029F" w:rsidRDefault="009F7850" w:rsidP="009B69DB">
      <w:pPr>
        <w:pStyle w:val="Heading1"/>
      </w:pPr>
      <w:bookmarkStart w:id="7" w:name="_Toc99951579"/>
      <w:r w:rsidRPr="007E029F">
        <w:t>Section 8. Exposure controls/personal protection</w:t>
      </w:r>
      <w:bookmarkEnd w:id="7"/>
    </w:p>
    <w:p w14:paraId="542C0947" w14:textId="0793360D" w:rsidR="002F10F6" w:rsidRPr="007E029F" w:rsidRDefault="002F10F6" w:rsidP="007E029F">
      <w:pPr>
        <w:pStyle w:val="Heading2"/>
      </w:pPr>
      <w:r w:rsidRPr="007E029F">
        <w:lastRenderedPageBreak/>
        <w:t>Ventilation and Engineering controls</w:t>
      </w:r>
    </w:p>
    <w:p w14:paraId="42A3EDCC" w14:textId="04D208FC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 special ventilation and engineering controls are required, handling of these products need keep good ventilation</w:t>
      </w:r>
    </w:p>
    <w:p w14:paraId="25E67105" w14:textId="2DD1587D" w:rsidR="002F10F6" w:rsidRPr="007E029F" w:rsidRDefault="002F10F6" w:rsidP="007E029F">
      <w:pPr>
        <w:pStyle w:val="Heading2"/>
      </w:pPr>
      <w:r w:rsidRPr="007E029F">
        <w:t>Respiratory Protection</w:t>
      </w:r>
    </w:p>
    <w:p w14:paraId="36895669" w14:textId="4DAFD06E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No special respiratory protection is required for use of these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products.If</w:t>
      </w:r>
      <w:proofErr w:type="spellEnd"/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respiratory protection is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needed,use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only protection authorized in the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U.S.Federal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OSHS Standard, applicable </w:t>
      </w: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U.S.State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regulations.</w:t>
      </w:r>
    </w:p>
    <w:p w14:paraId="4DC4D5EE" w14:textId="44D15ABE" w:rsidR="002F10F6" w:rsidRPr="007E029F" w:rsidRDefault="002F10F6" w:rsidP="007E029F">
      <w:pPr>
        <w:pStyle w:val="Heading2"/>
      </w:pPr>
      <w:r w:rsidRPr="007E029F">
        <w:t>Body Protection</w:t>
      </w:r>
    </w:p>
    <w:p w14:paraId="134FF8DC" w14:textId="77777777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proofErr w:type="spellStart"/>
      <w:r w:rsidRPr="007E029F">
        <w:rPr>
          <w:rFonts w:ascii="Arial" w:hAnsi="Arial" w:cs="Arial"/>
          <w:sz w:val="24"/>
          <w:szCs w:val="24"/>
          <w:lang w:val="en-IN"/>
        </w:rPr>
        <w:t>Anti osmosis</w:t>
      </w:r>
      <w:proofErr w:type="spellEnd"/>
      <w:r w:rsidRPr="007E029F">
        <w:rPr>
          <w:rFonts w:ascii="Arial" w:hAnsi="Arial" w:cs="Arial"/>
          <w:sz w:val="24"/>
          <w:szCs w:val="24"/>
          <w:lang w:val="en-IN"/>
        </w:rPr>
        <w:t xml:space="preserve"> clothing is required.</w:t>
      </w:r>
    </w:p>
    <w:p w14:paraId="7E0ACAE3" w14:textId="1FF38672" w:rsidR="002F10F6" w:rsidRPr="007E029F" w:rsidRDefault="002F10F6" w:rsidP="007E029F">
      <w:pPr>
        <w:pStyle w:val="Heading2"/>
      </w:pPr>
      <w:r w:rsidRPr="007E029F">
        <w:t>Protective Gloves</w:t>
      </w:r>
    </w:p>
    <w:p w14:paraId="7F1664CA" w14:textId="77777777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Choose Rubber or plastic acid-resistant gloves with elbow-length gauntlet</w:t>
      </w:r>
    </w:p>
    <w:p w14:paraId="1925A32E" w14:textId="7358899C" w:rsidR="002F10F6" w:rsidRPr="007E029F" w:rsidRDefault="002F10F6" w:rsidP="007E029F">
      <w:pPr>
        <w:pStyle w:val="Heading2"/>
      </w:pPr>
      <w:r w:rsidRPr="007E029F">
        <w:t>Eye Protection</w:t>
      </w:r>
    </w:p>
    <w:p w14:paraId="62E6C1D2" w14:textId="53F1D0AF" w:rsidR="002F10F6" w:rsidRPr="007E029F" w:rsidRDefault="002F10F6" w:rsidP="002F10F6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 xml:space="preserve">When </w:t>
      </w:r>
      <w:proofErr w:type="gramStart"/>
      <w:r w:rsidRPr="007E029F">
        <w:rPr>
          <w:rFonts w:ascii="Arial" w:hAnsi="Arial" w:cs="Arial"/>
          <w:sz w:val="24"/>
          <w:szCs w:val="24"/>
          <w:lang w:val="en-IN"/>
        </w:rPr>
        <w:t>necessary</w:t>
      </w:r>
      <w:proofErr w:type="gramEnd"/>
      <w:r w:rsidRPr="007E029F">
        <w:rPr>
          <w:rFonts w:ascii="Arial" w:hAnsi="Arial" w:cs="Arial"/>
          <w:sz w:val="24"/>
          <w:szCs w:val="24"/>
          <w:lang w:val="en-IN"/>
        </w:rPr>
        <w:t xml:space="preserve"> wear chemical goggles or face shield.</w:t>
      </w:r>
    </w:p>
    <w:p w14:paraId="43BD6EF3" w14:textId="6AB6EC2E" w:rsidR="00CE0624" w:rsidRPr="007E029F" w:rsidRDefault="0073237D" w:rsidP="009B69DB">
      <w:pPr>
        <w:pStyle w:val="Heading1"/>
      </w:pPr>
      <w:bookmarkStart w:id="8" w:name="_Toc99951580"/>
      <w:r w:rsidRPr="007E029F">
        <w:t>Section 9. Physical and chemical properties</w:t>
      </w:r>
      <w:bookmarkEnd w:id="8"/>
    </w:p>
    <w:p w14:paraId="14D5466B" w14:textId="1DF155B2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Physical state: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4B53BD" w:rsidRPr="007E029F">
        <w:rPr>
          <w:rFonts w:ascii="Arial" w:hAnsi="Arial" w:cs="Arial"/>
          <w:sz w:val="24"/>
          <w:szCs w:val="24"/>
        </w:rPr>
        <w:t>Viscous liquid</w:t>
      </w:r>
    </w:p>
    <w:p w14:paraId="54FB3DFA" w14:textId="0BBC4EDB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Odor: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4B53BD" w:rsidRPr="007E029F">
        <w:rPr>
          <w:rFonts w:ascii="Arial" w:hAnsi="Arial" w:cs="Arial"/>
          <w:sz w:val="24"/>
          <w:szCs w:val="24"/>
        </w:rPr>
        <w:t>resin smell</w:t>
      </w:r>
    </w:p>
    <w:p w14:paraId="4585881F" w14:textId="3A08EB8B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Melting point/range: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EC3E11C" w14:textId="034119A1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Vapor density: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B9FAC77" w14:textId="7380D8B4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Vapor pressure: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7A81B09" w14:textId="31065978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Solubility in water: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Slight</w:t>
      </w:r>
    </w:p>
    <w:p w14:paraId="7721FEE2" w14:textId="5BA32689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Solubility in water: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Slight</w:t>
      </w:r>
    </w:p>
    <w:p w14:paraId="6E3C2367" w14:textId="1D0A3CB9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Boiling point/range: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Greater than 93°C (200° F)</w:t>
      </w:r>
    </w:p>
    <w:p w14:paraId="068F9800" w14:textId="6F4782A4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Partition coefficient (n-octanol/water):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6252A194" w14:textId="2CC84EB7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Color: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transparent</w:t>
      </w:r>
    </w:p>
    <w:p w14:paraId="170D892E" w14:textId="0A4F2ACB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pH: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="003571ED" w:rsidRPr="007E029F">
        <w:rPr>
          <w:rFonts w:ascii="Arial" w:hAnsi="Arial" w:cs="Arial"/>
          <w:sz w:val="24"/>
          <w:szCs w:val="24"/>
        </w:rPr>
        <w:t>Not applicable</w:t>
      </w:r>
    </w:p>
    <w:p w14:paraId="7D545817" w14:textId="0970F35E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Specific gravity: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1.</w:t>
      </w:r>
      <w:r w:rsidR="004B53BD" w:rsidRPr="007E029F">
        <w:rPr>
          <w:rFonts w:ascii="Arial" w:hAnsi="Arial" w:cs="Arial"/>
          <w:sz w:val="24"/>
          <w:szCs w:val="24"/>
        </w:rPr>
        <w:t>10</w:t>
      </w:r>
    </w:p>
    <w:p w14:paraId="27C454E8" w14:textId="58402AA1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>Evaporation rate:</w:t>
      </w:r>
      <w:r w:rsidRPr="007E029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31FA0726" w14:textId="30B0550E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b/>
          <w:bCs/>
          <w:sz w:val="24"/>
          <w:szCs w:val="24"/>
        </w:rPr>
        <w:t>Evaporation rate:</w:t>
      </w:r>
      <w:r w:rsidRPr="007E029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7E029F">
        <w:rPr>
          <w:rFonts w:ascii="Arial" w:hAnsi="Arial" w:cs="Arial"/>
          <w:sz w:val="24"/>
          <w:szCs w:val="24"/>
        </w:rPr>
        <w:t>Not available</w:t>
      </w:r>
    </w:p>
    <w:p w14:paraId="256BC29E" w14:textId="77BBC982" w:rsidR="00B6574D" w:rsidRPr="007E029F" w:rsidRDefault="00B6574D" w:rsidP="00B6574D">
      <w:pPr>
        <w:pBdr>
          <w:between w:val="single" w:sz="4" w:space="1" w:color="auto"/>
        </w:pBdr>
        <w:tabs>
          <w:tab w:val="left" w:pos="4320"/>
        </w:tabs>
        <w:spacing w:after="0" w:line="276" w:lineRule="auto"/>
        <w:rPr>
          <w:rFonts w:ascii="Arial" w:hAnsi="Arial" w:cs="Arial"/>
          <w:lang w:val="en-IN"/>
        </w:rPr>
      </w:pPr>
      <w:r w:rsidRPr="007E029F">
        <w:rPr>
          <w:rFonts w:ascii="Arial" w:hAnsi="Arial" w:cs="Arial"/>
          <w:b/>
          <w:bCs/>
          <w:sz w:val="24"/>
          <w:szCs w:val="24"/>
        </w:rPr>
        <w:t xml:space="preserve">VOC content: </w:t>
      </w:r>
      <w:r w:rsidRPr="007E029F">
        <w:rPr>
          <w:rFonts w:ascii="Arial" w:hAnsi="Arial" w:cs="Arial"/>
          <w:b/>
          <w:bCs/>
          <w:sz w:val="24"/>
          <w:szCs w:val="24"/>
        </w:rPr>
        <w:tab/>
      </w:r>
      <w:r w:rsidRPr="007E029F">
        <w:rPr>
          <w:rFonts w:ascii="Arial" w:hAnsi="Arial" w:cs="Arial"/>
          <w:sz w:val="24"/>
          <w:szCs w:val="24"/>
        </w:rPr>
        <w:t>Total volatiles 0.80 %</w:t>
      </w:r>
    </w:p>
    <w:p w14:paraId="7E2295D4" w14:textId="77777777" w:rsidR="00172EE7" w:rsidRPr="007E029F" w:rsidRDefault="00172EE7" w:rsidP="00172EE7">
      <w:pPr>
        <w:rPr>
          <w:rFonts w:ascii="Arial" w:hAnsi="Arial" w:cs="Arial"/>
        </w:rPr>
      </w:pPr>
      <w:r w:rsidRPr="007E029F">
        <w:rPr>
          <w:rFonts w:ascii="Arial" w:hAnsi="Arial" w:cs="Arial"/>
        </w:rPr>
        <w:br w:type="page"/>
      </w:r>
    </w:p>
    <w:p w14:paraId="7BE4698F" w14:textId="3DAF0369" w:rsidR="006F0BBE" w:rsidRPr="007E029F" w:rsidRDefault="00CE2650" w:rsidP="009B69DB">
      <w:pPr>
        <w:pStyle w:val="Heading1"/>
      </w:pPr>
      <w:bookmarkStart w:id="9" w:name="_Toc99951581"/>
      <w:r w:rsidRPr="007E029F">
        <w:lastRenderedPageBreak/>
        <w:t>Section 10. Stability and reactivity</w:t>
      </w:r>
      <w:bookmarkEnd w:id="9"/>
    </w:p>
    <w:p w14:paraId="2EFDA3C7" w14:textId="3EE6A442" w:rsidR="00172EE7" w:rsidRPr="007E029F" w:rsidRDefault="00172EE7" w:rsidP="007E029F">
      <w:pPr>
        <w:pStyle w:val="Heading2"/>
      </w:pPr>
      <w:r w:rsidRPr="007E029F">
        <w:t>Stability</w:t>
      </w:r>
    </w:p>
    <w:p w14:paraId="5380DA97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Stable under normal conditions of storage and use.</w:t>
      </w:r>
    </w:p>
    <w:p w14:paraId="114EAFC5" w14:textId="588F39A0" w:rsidR="00172EE7" w:rsidRPr="007E029F" w:rsidRDefault="00172EE7" w:rsidP="007E029F">
      <w:pPr>
        <w:pStyle w:val="Heading2"/>
      </w:pPr>
      <w:r w:rsidRPr="007E029F">
        <w:t>Incompatibility with other material</w:t>
      </w:r>
    </w:p>
    <w:p w14:paraId="12B9D509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No further relevant information available.</w:t>
      </w:r>
    </w:p>
    <w:p w14:paraId="7E2E8425" w14:textId="49A4B86A" w:rsidR="00172EE7" w:rsidRPr="007E029F" w:rsidRDefault="00172EE7" w:rsidP="007E029F">
      <w:pPr>
        <w:pStyle w:val="Heading2"/>
      </w:pPr>
      <w:r w:rsidRPr="007E029F">
        <w:t>Hazardous Decomposition Products</w:t>
      </w:r>
    </w:p>
    <w:p w14:paraId="59908364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The following combustion products may be generated: </w:t>
      </w:r>
      <w:proofErr w:type="spellStart"/>
      <w:r w:rsidRPr="007E029F">
        <w:rPr>
          <w:rFonts w:ascii="Arial" w:hAnsi="Arial" w:cs="Arial"/>
          <w:sz w:val="24"/>
          <w:szCs w:val="24"/>
        </w:rPr>
        <w:t>oxycarbide</w:t>
      </w:r>
      <w:proofErr w:type="spellEnd"/>
      <w:r w:rsidRPr="007E029F">
        <w:rPr>
          <w:rFonts w:ascii="Arial" w:hAnsi="Arial" w:cs="Arial"/>
          <w:sz w:val="24"/>
          <w:szCs w:val="24"/>
        </w:rPr>
        <w:t>, oxynitride water vapor,</w:t>
      </w:r>
    </w:p>
    <w:p w14:paraId="180D683A" w14:textId="77777777" w:rsidR="00172EE7" w:rsidRPr="007E029F" w:rsidRDefault="00172EE7" w:rsidP="00172EE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>and trace volatile organic compounds.</w:t>
      </w:r>
    </w:p>
    <w:p w14:paraId="556424D4" w14:textId="2414C8F8" w:rsidR="00172EE7" w:rsidRPr="007E029F" w:rsidRDefault="00172EE7" w:rsidP="007E029F">
      <w:pPr>
        <w:pStyle w:val="Heading2"/>
      </w:pPr>
      <w:r w:rsidRPr="007E029F">
        <w:t>Hazardous Productization</w:t>
      </w:r>
    </w:p>
    <w:p w14:paraId="0E3FAC33" w14:textId="7DE5B5D9" w:rsidR="00401EBF" w:rsidRPr="007E029F" w:rsidRDefault="00172EE7" w:rsidP="00172EE7">
      <w:pPr>
        <w:rPr>
          <w:rFonts w:ascii="Arial" w:hAnsi="Arial" w:cs="Arial"/>
        </w:rPr>
      </w:pPr>
      <w:r w:rsidRPr="007E029F">
        <w:rPr>
          <w:rFonts w:ascii="Arial" w:hAnsi="Arial" w:cs="Arial"/>
          <w:sz w:val="24"/>
          <w:szCs w:val="24"/>
        </w:rPr>
        <w:t>Hazardous productization will not occur.</w:t>
      </w:r>
    </w:p>
    <w:p w14:paraId="3BB87AD1" w14:textId="4C6E971A" w:rsidR="00CE2650" w:rsidRPr="007E029F" w:rsidRDefault="00B2158C" w:rsidP="009B69DB">
      <w:pPr>
        <w:pStyle w:val="Heading1"/>
      </w:pPr>
      <w:bookmarkStart w:id="10" w:name="_Toc99951582"/>
      <w:r w:rsidRPr="007E029F">
        <w:t>Section 11. Toxicological information</w:t>
      </w:r>
      <w:bookmarkEnd w:id="10"/>
    </w:p>
    <w:p w14:paraId="6518F2AC" w14:textId="4318F13C" w:rsidR="007D08B2" w:rsidRPr="007E029F" w:rsidRDefault="00172EE7" w:rsidP="00172EE7">
      <w:pPr>
        <w:rPr>
          <w:rFonts w:ascii="Arial" w:hAnsi="Arial" w:cs="Arial"/>
          <w:sz w:val="24"/>
          <w:szCs w:val="24"/>
        </w:rPr>
      </w:pPr>
      <w:r w:rsidRPr="007E029F">
        <w:rPr>
          <w:rFonts w:ascii="Arial" w:hAnsi="Arial" w:cs="Arial"/>
          <w:sz w:val="24"/>
          <w:szCs w:val="24"/>
        </w:rPr>
        <w:t xml:space="preserve">This product is free solvent, carcinogenic material. The general damage is contact stimulation; excessive or repeated contact may stimulate skin; at the first beginning and </w:t>
      </w:r>
      <w:proofErr w:type="spellStart"/>
      <w:proofErr w:type="gramStart"/>
      <w:r w:rsidRPr="007E029F">
        <w:rPr>
          <w:rFonts w:ascii="Arial" w:hAnsi="Arial" w:cs="Arial"/>
          <w:sz w:val="24"/>
          <w:szCs w:val="24"/>
        </w:rPr>
        <w:t>long time</w:t>
      </w:r>
      <w:proofErr w:type="spellEnd"/>
      <w:proofErr w:type="gramEnd"/>
      <w:r w:rsidRPr="007E029F">
        <w:rPr>
          <w:rFonts w:ascii="Arial" w:hAnsi="Arial" w:cs="Arial"/>
          <w:sz w:val="24"/>
          <w:szCs w:val="24"/>
        </w:rPr>
        <w:t xml:space="preserve"> short distance contact may stimulate eyes. The main irritant is acrylic esters. This product is a low toxicity, </w:t>
      </w:r>
      <w:r w:rsidRPr="007E029F">
        <w:rPr>
          <w:rFonts w:ascii="Arial" w:hAnsi="Arial" w:cs="Arial"/>
          <w:b/>
          <w:bCs/>
          <w:i/>
          <w:iCs/>
          <w:sz w:val="24"/>
          <w:szCs w:val="24"/>
        </w:rPr>
        <w:t>LD50&gt;3000mg/kg</w:t>
      </w:r>
    </w:p>
    <w:p w14:paraId="2977DF9F" w14:textId="2EEB7413" w:rsidR="00E67987" w:rsidRPr="007E029F" w:rsidRDefault="00BF01CF" w:rsidP="009B69DB">
      <w:pPr>
        <w:pStyle w:val="Heading1"/>
      </w:pPr>
      <w:bookmarkStart w:id="11" w:name="_Toc99951583"/>
      <w:r w:rsidRPr="007E029F">
        <w:t>Section 12. Ecological information</w:t>
      </w:r>
      <w:bookmarkEnd w:id="11"/>
    </w:p>
    <w:p w14:paraId="5BEB974A" w14:textId="2D03F652" w:rsidR="00172EE7" w:rsidRPr="007E029F" w:rsidRDefault="00172EE7" w:rsidP="007E029F">
      <w:pPr>
        <w:pStyle w:val="Heading2"/>
      </w:pPr>
      <w:r w:rsidRPr="007E029F">
        <w:t>Toxicity</w:t>
      </w:r>
    </w:p>
    <w:p w14:paraId="7817D516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May harmful to aquatic organisms.</w:t>
      </w:r>
    </w:p>
    <w:p w14:paraId="455699B7" w14:textId="5313B7C5" w:rsidR="00172EE7" w:rsidRPr="007E029F" w:rsidRDefault="00172EE7" w:rsidP="007E029F">
      <w:pPr>
        <w:pStyle w:val="Heading2"/>
      </w:pPr>
      <w:r w:rsidRPr="007E029F">
        <w:t>Mobility and bio accumulation potential</w:t>
      </w:r>
    </w:p>
    <w:p w14:paraId="2653CA8A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No further relevant information available.</w:t>
      </w:r>
    </w:p>
    <w:p w14:paraId="778DC76D" w14:textId="5BD32DCD" w:rsidR="00172EE7" w:rsidRPr="007E029F" w:rsidRDefault="00172EE7" w:rsidP="007E029F">
      <w:pPr>
        <w:pStyle w:val="Heading2"/>
      </w:pPr>
      <w:proofErr w:type="spellStart"/>
      <w:r w:rsidRPr="007E029F">
        <w:t>Ecotoxical</w:t>
      </w:r>
      <w:proofErr w:type="spellEnd"/>
      <w:r w:rsidRPr="007E029F">
        <w:t xml:space="preserve"> effects</w:t>
      </w:r>
    </w:p>
    <w:p w14:paraId="1528A2C0" w14:textId="77777777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May cause long-term adverse effects in the environment.</w:t>
      </w:r>
    </w:p>
    <w:p w14:paraId="52F866DB" w14:textId="435AE40C" w:rsidR="00172EE7" w:rsidRPr="007E029F" w:rsidRDefault="00172EE7" w:rsidP="007E029F">
      <w:pPr>
        <w:pStyle w:val="Heading2"/>
      </w:pPr>
      <w:r w:rsidRPr="007E029F">
        <w:t>Environmental Precautions</w:t>
      </w:r>
    </w:p>
    <w:p w14:paraId="19D0B840" w14:textId="50BD8B62" w:rsidR="00172EE7" w:rsidRPr="007E029F" w:rsidRDefault="00172EE7" w:rsidP="00172EE7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It must be disposed of by incineration or in an authorized waste deposit.</w:t>
      </w:r>
    </w:p>
    <w:p w14:paraId="4C6A0C9B" w14:textId="3EC2CA3A" w:rsidR="00BF01CF" w:rsidRPr="007E029F" w:rsidRDefault="00BF01CF" w:rsidP="009B69DB">
      <w:pPr>
        <w:pStyle w:val="Heading1"/>
      </w:pPr>
      <w:bookmarkStart w:id="12" w:name="_Toc99951584"/>
      <w:r w:rsidRPr="007E029F">
        <w:t>Section 13. Disposal considerations</w:t>
      </w:r>
      <w:bookmarkEnd w:id="12"/>
    </w:p>
    <w:p w14:paraId="2654CE16" w14:textId="6B36626B" w:rsidR="00E50A28" w:rsidRPr="007E029F" w:rsidRDefault="00E50A28" w:rsidP="007E029F">
      <w:pPr>
        <w:pStyle w:val="Heading2"/>
      </w:pPr>
      <w:r w:rsidRPr="007E029F">
        <w:t>Product</w:t>
      </w:r>
    </w:p>
    <w:p w14:paraId="1E72DA6A" w14:textId="77777777" w:rsidR="00E50A28" w:rsidRPr="007E029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Must be disposed of in accordance with applicable federal, state and local regulations.</w:t>
      </w:r>
    </w:p>
    <w:p w14:paraId="3731E5BB" w14:textId="4A010D7E" w:rsidR="00E50A28" w:rsidRPr="007E029F" w:rsidRDefault="00E50A28" w:rsidP="007E029F">
      <w:pPr>
        <w:pStyle w:val="Heading2"/>
      </w:pPr>
      <w:r w:rsidRPr="007E029F">
        <w:t>Recommendation</w:t>
      </w:r>
    </w:p>
    <w:p w14:paraId="51D4E3FE" w14:textId="10C5D454" w:rsidR="00E50A28" w:rsidRPr="007E029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7E029F">
        <w:rPr>
          <w:rFonts w:ascii="Arial" w:hAnsi="Arial" w:cs="Arial"/>
          <w:sz w:val="24"/>
          <w:szCs w:val="24"/>
          <w:lang w:val="en-IN"/>
        </w:rPr>
        <w:t>Must not be dispose together with household garbage.</w:t>
      </w:r>
    </w:p>
    <w:p w14:paraId="4DE6574E" w14:textId="2A50E786" w:rsidR="00E50A28" w:rsidRPr="007E029F" w:rsidRDefault="00E50A28" w:rsidP="007E029F">
      <w:pPr>
        <w:pStyle w:val="Heading2"/>
      </w:pPr>
      <w:r w:rsidRPr="007E029F">
        <w:lastRenderedPageBreak/>
        <w:t>Uncleaned packaging</w:t>
      </w:r>
    </w:p>
    <w:p w14:paraId="106F6406" w14:textId="1BD56351" w:rsidR="00E50A28" w:rsidRPr="009E150F" w:rsidRDefault="00E50A28" w:rsidP="00E50A28">
      <w:pPr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Recommendation Disposal must be made according to official regulations.</w:t>
      </w:r>
    </w:p>
    <w:p w14:paraId="644FE02F" w14:textId="2CDAA385" w:rsidR="00E50A28" w:rsidRPr="007E029F" w:rsidRDefault="00E50A28" w:rsidP="00E50A28">
      <w:pPr>
        <w:pStyle w:val="Heading1"/>
      </w:pPr>
      <w:bookmarkStart w:id="13" w:name="_Toc99951585"/>
      <w:r w:rsidRPr="007E029F">
        <w:t>SECTION 14 — TRA NSPORT INFORMATION</w:t>
      </w:r>
      <w:bookmarkEnd w:id="13"/>
    </w:p>
    <w:p w14:paraId="120D4964" w14:textId="5E1DCDD2" w:rsidR="009D35C9" w:rsidRPr="009E150F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The shipping classifications in this section are for non-bulk packaging only (unless otherwise specified). Shipping classification may be different for bulk packaging.</w:t>
      </w:r>
    </w:p>
    <w:p w14:paraId="22C54644" w14:textId="77777777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P.R.C Department of Transportation Ground</w:t>
      </w:r>
    </w:p>
    <w:p w14:paraId="05255661" w14:textId="33C0D0C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Proper shipping name: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Unrestricted</w:t>
      </w:r>
    </w:p>
    <w:p w14:paraId="046F7925" w14:textId="07168D95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>Hazard class or division: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None</w:t>
      </w:r>
    </w:p>
    <w:p w14:paraId="438732DE" w14:textId="07424973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Identification number: 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 applicable.</w:t>
      </w:r>
    </w:p>
    <w:p w14:paraId="34B751DB" w14:textId="15087CB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Packing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group: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applicable</w:t>
      </w:r>
      <w:r w:rsidRPr="009E150F">
        <w:rPr>
          <w:rFonts w:ascii="Arial" w:hAnsi="Arial" w:cs="Arial"/>
          <w:sz w:val="24"/>
          <w:szCs w:val="24"/>
          <w:lang w:val="en-IN"/>
        </w:rPr>
        <w:t>.</w:t>
      </w:r>
    </w:p>
    <w:p w14:paraId="77CC04EA" w14:textId="01A584AD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Marine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Pollutant: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available.</w:t>
      </w:r>
    </w:p>
    <w:p w14:paraId="68E57459" w14:textId="45DF8E8E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Special Provisions for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Transport: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applicable.</w:t>
      </w:r>
    </w:p>
    <w:p w14:paraId="45AD778A" w14:textId="2C6CAFC9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DG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TDG(Canada).</w:t>
      </w:r>
    </w:p>
    <w:p w14:paraId="2ACFB09E" w14:textId="60A07AEC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ADR/RID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ADR(Europe).</w:t>
      </w:r>
    </w:p>
    <w:p w14:paraId="7CB75BCF" w14:textId="0798A5D3" w:rsidR="009D35C9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IMO/IMDG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IMDG.</w:t>
      </w:r>
    </w:p>
    <w:p w14:paraId="5AC00287" w14:textId="4B2DDFEA" w:rsidR="00E50A28" w:rsidRPr="009E150F" w:rsidRDefault="009D35C9" w:rsidP="009D35C9">
      <w:pPr>
        <w:pStyle w:val="ListParagraph"/>
        <w:numPr>
          <w:ilvl w:val="0"/>
          <w:numId w:val="5"/>
        </w:numPr>
        <w:spacing w:after="0"/>
        <w:jc w:val="left"/>
        <w:rPr>
          <w:rFonts w:ascii="Arial" w:hAnsi="Arial" w:cs="Arial"/>
          <w:b/>
          <w:bCs/>
          <w:sz w:val="24"/>
          <w:szCs w:val="24"/>
          <w:lang w:val="en-IN"/>
        </w:rPr>
      </w:pPr>
      <w:r w:rsidRPr="009E150F">
        <w:rPr>
          <w:rFonts w:ascii="Arial" w:hAnsi="Arial" w:cs="Arial"/>
          <w:sz w:val="24"/>
          <w:szCs w:val="24"/>
          <w:lang w:val="en-IN"/>
        </w:rPr>
        <w:t xml:space="preserve">ICAO/IATA </w:t>
      </w:r>
      <w:proofErr w:type="spellStart"/>
      <w:proofErr w:type="gramStart"/>
      <w:r w:rsidRPr="009E150F">
        <w:rPr>
          <w:rFonts w:ascii="Arial" w:hAnsi="Arial" w:cs="Arial"/>
          <w:sz w:val="24"/>
          <w:szCs w:val="24"/>
          <w:lang w:val="en-IN"/>
        </w:rPr>
        <w:t>Classification:</w:t>
      </w:r>
      <w:r w:rsidRPr="009E150F">
        <w:rPr>
          <w:rFonts w:ascii="Arial" w:hAnsi="Arial" w:cs="Arial"/>
          <w:b/>
          <w:bCs/>
          <w:sz w:val="24"/>
          <w:szCs w:val="24"/>
          <w:lang w:val="en-IN"/>
        </w:rPr>
        <w:t>Not</w:t>
      </w:r>
      <w:proofErr w:type="spellEnd"/>
      <w:proofErr w:type="gramEnd"/>
      <w:r w:rsidRPr="009E150F">
        <w:rPr>
          <w:rFonts w:ascii="Arial" w:hAnsi="Arial" w:cs="Arial"/>
          <w:b/>
          <w:bCs/>
          <w:sz w:val="24"/>
          <w:szCs w:val="24"/>
          <w:lang w:val="en-IN"/>
        </w:rPr>
        <w:t xml:space="preserve"> Controlled under IATA.</w:t>
      </w:r>
    </w:p>
    <w:p w14:paraId="0436294A" w14:textId="39F4A952" w:rsidR="00E50A28" w:rsidRPr="007E029F" w:rsidRDefault="009D35C9" w:rsidP="009D35C9">
      <w:pPr>
        <w:pStyle w:val="Heading1"/>
      </w:pPr>
      <w:bookmarkStart w:id="14" w:name="_Toc99951586"/>
      <w:r w:rsidRPr="007E029F">
        <w:t>SECTION 15 - REGULATORY INFORMATION</w:t>
      </w:r>
      <w:bookmarkEnd w:id="14"/>
    </w:p>
    <w:p w14:paraId="7FA90467" w14:textId="70BFAB23" w:rsidR="009D35C9" w:rsidRPr="007E029F" w:rsidRDefault="009D35C9" w:rsidP="007E029F">
      <w:pPr>
        <w:pStyle w:val="Heading2"/>
      </w:pPr>
      <w:r w:rsidRPr="007E029F">
        <w:t>HCS Classification</w:t>
      </w:r>
    </w:p>
    <w:p w14:paraId="2A61F61E" w14:textId="21DF865D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This product is not a "Hazardous Chemical" as defined by the OSHA Hazard Communication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Standard,29 CFR 1910.1200.</w:t>
      </w:r>
    </w:p>
    <w:p w14:paraId="0B2BA13D" w14:textId="0D572AD6" w:rsidR="009D35C9" w:rsidRPr="007E029F" w:rsidRDefault="009D35C9" w:rsidP="007E029F">
      <w:pPr>
        <w:pStyle w:val="Heading2"/>
      </w:pPr>
      <w:r w:rsidRPr="007E029F">
        <w:t>TSCA inventory</w:t>
      </w:r>
    </w:p>
    <w:p w14:paraId="23D54773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Some components are listed.</w:t>
      </w:r>
    </w:p>
    <w:p w14:paraId="4822D9A6" w14:textId="46233492" w:rsidR="009D35C9" w:rsidRPr="007E029F" w:rsidRDefault="009D35C9" w:rsidP="007E029F">
      <w:pPr>
        <w:pStyle w:val="Heading2"/>
      </w:pPr>
      <w:r w:rsidRPr="007E029F">
        <w:t>SARA 301/302/303</w:t>
      </w:r>
    </w:p>
    <w:p w14:paraId="55591719" w14:textId="04411C8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 chemicals in this product are listed as extremely hazards substances in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40CFR</w:t>
      </w:r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355,Emergency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Planning And Notification(Appendix A to Part 355).</w:t>
      </w:r>
    </w:p>
    <w:p w14:paraId="55D7EBD4" w14:textId="2440BFBE" w:rsidR="009D35C9" w:rsidRPr="007E029F" w:rsidRDefault="009D35C9" w:rsidP="007E029F">
      <w:pPr>
        <w:pStyle w:val="Heading2"/>
      </w:pPr>
      <w:r w:rsidRPr="007E029F">
        <w:t>International Regulations</w:t>
      </w:r>
    </w:p>
    <w:p w14:paraId="577F045F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*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WHMIS:Not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controlled under WHMIS</w:t>
      </w:r>
    </w:p>
    <w:p w14:paraId="3ED7A0FB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*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DSCL:Not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controlled under DSCL.</w:t>
      </w:r>
    </w:p>
    <w:p w14:paraId="7147894F" w14:textId="7F9E89C0" w:rsidR="009D35C9" w:rsidRPr="007E029F" w:rsidRDefault="009D35C9" w:rsidP="007E029F">
      <w:pPr>
        <w:pStyle w:val="Heading2"/>
      </w:pPr>
      <w:r w:rsidRPr="007E029F">
        <w:t>State Regulation</w:t>
      </w:r>
    </w:p>
    <w:p w14:paraId="606B8A84" w14:textId="77777777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 products were found.</w:t>
      </w:r>
    </w:p>
    <w:p w14:paraId="18ADDCAC" w14:textId="53D2F913" w:rsidR="009D35C9" w:rsidRPr="007E029F" w:rsidRDefault="009D35C9" w:rsidP="007E029F">
      <w:pPr>
        <w:pStyle w:val="Heading2"/>
      </w:pPr>
      <w:r w:rsidRPr="007E029F">
        <w:t>California Prop.65</w:t>
      </w:r>
    </w:p>
    <w:p w14:paraId="0E9679F7" w14:textId="2669EFAA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There are no Proposition 65 chemicals present inn this products level that would require a</w:t>
      </w:r>
      <w:r w:rsidR="003571ED"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r w:rsidRPr="00EB0A05">
        <w:rPr>
          <w:rFonts w:ascii="Arial" w:hAnsi="Arial" w:cs="Arial"/>
          <w:sz w:val="24"/>
          <w:szCs w:val="24"/>
          <w:lang w:val="en-IN"/>
        </w:rPr>
        <w:t>warning under the California Safe Drinking Water and Toxic Enforcement Act.</w:t>
      </w:r>
    </w:p>
    <w:p w14:paraId="7A108840" w14:textId="13603204" w:rsidR="009D35C9" w:rsidRPr="007E029F" w:rsidRDefault="009D35C9" w:rsidP="007E029F">
      <w:pPr>
        <w:pStyle w:val="Heading2"/>
      </w:pPr>
      <w:r w:rsidRPr="007E029F">
        <w:lastRenderedPageBreak/>
        <w:t xml:space="preserve">REACH Regulation List of Substances of very high </w:t>
      </w:r>
      <w:proofErr w:type="gramStart"/>
      <w:r w:rsidRPr="007E029F">
        <w:t>concern(</w:t>
      </w:r>
      <w:proofErr w:type="gramEnd"/>
      <w:r w:rsidRPr="007E029F">
        <w:t>SVHC)</w:t>
      </w:r>
    </w:p>
    <w:p w14:paraId="559C10E0" w14:textId="7FD2BD2C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>None of the ingredients is listed.</w:t>
      </w:r>
    </w:p>
    <w:p w14:paraId="52B03E90" w14:textId="0B728842" w:rsidR="009D35C9" w:rsidRPr="007E029F" w:rsidRDefault="009D35C9" w:rsidP="009D35C9">
      <w:pPr>
        <w:pStyle w:val="Heading1"/>
      </w:pPr>
      <w:bookmarkStart w:id="15" w:name="_Toc99951587"/>
      <w:r w:rsidRPr="007E029F">
        <w:t>SECTION 16 — OTHER INFORMATION</w:t>
      </w:r>
      <w:bookmarkEnd w:id="15"/>
    </w:p>
    <w:p w14:paraId="1D55E297" w14:textId="4E26F961" w:rsidR="009D35C9" w:rsidRPr="007E029F" w:rsidRDefault="009D35C9" w:rsidP="007E029F">
      <w:pPr>
        <w:pStyle w:val="Heading2"/>
      </w:pPr>
      <w:r w:rsidRPr="007E029F">
        <w:t>DISCLAIMER of liability</w:t>
      </w:r>
    </w:p>
    <w:p w14:paraId="2D7FA919" w14:textId="5E8EA232" w:rsidR="009D35C9" w:rsidRPr="00EB0A05" w:rsidRDefault="009D35C9" w:rsidP="009D35C9">
      <w:pPr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sz w:val="24"/>
          <w:szCs w:val="24"/>
          <w:lang w:val="en-IN"/>
        </w:rPr>
        <w:t xml:space="preserve">The information in this MSDS/SDS was obtained from sources which we believe are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reliable.However,the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information is provided without any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warranty.express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implied,regarding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its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correctness.The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conditions or methods of handing,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storage,use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disposal of the product are beyond our control and may be beyond our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knowledge.For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this and other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reasons,we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do not assume responsibility and expressly disclaim liability for loss, damage or expense arising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lout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of or in any way connected with the handling,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storage,use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or disposal of the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product.This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MSDS/SDS was prepared and is to be used only for this product. If the product is used as a component in another </w:t>
      </w:r>
      <w:proofErr w:type="spellStart"/>
      <w:proofErr w:type="gramStart"/>
      <w:r w:rsidRPr="00EB0A05">
        <w:rPr>
          <w:rFonts w:ascii="Arial" w:hAnsi="Arial" w:cs="Arial"/>
          <w:sz w:val="24"/>
          <w:szCs w:val="24"/>
          <w:lang w:val="en-IN"/>
        </w:rPr>
        <w:t>product,this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MSDS/SDS information may not be applicable.</w:t>
      </w:r>
    </w:p>
    <w:p w14:paraId="1586FD53" w14:textId="0624AA68" w:rsidR="009D35C9" w:rsidRPr="007E029F" w:rsidRDefault="009D35C9" w:rsidP="007E029F">
      <w:pPr>
        <w:pStyle w:val="Heading2"/>
      </w:pPr>
      <w:r w:rsidRPr="007E029F">
        <w:t>Abbreviations and acronyms</w:t>
      </w:r>
    </w:p>
    <w:p w14:paraId="0329D80D" w14:textId="5F0EF0B6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ADR:</w:t>
      </w:r>
      <w:r w:rsidRPr="00EB0A05">
        <w:rPr>
          <w:rFonts w:ascii="Arial" w:hAnsi="Arial" w:cs="Arial"/>
          <w:sz w:val="24"/>
          <w:szCs w:val="24"/>
          <w:lang w:val="en-IN"/>
        </w:rPr>
        <w:t>Accord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europeen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sur le transport des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marchandises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dangereuses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par Route(European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Agrrement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concerning the International Carriage of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Dangeroous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Goods by Road)</w:t>
      </w:r>
    </w:p>
    <w:p w14:paraId="1B4AC235" w14:textId="203A2269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RID:</w:t>
      </w:r>
      <w:r w:rsidRPr="00EB0A05">
        <w:rPr>
          <w:rFonts w:ascii="Arial" w:hAnsi="Arial" w:cs="Arial"/>
          <w:sz w:val="24"/>
          <w:szCs w:val="24"/>
          <w:lang w:val="en-IN"/>
        </w:rPr>
        <w:t>Reglement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international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concernant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le transport des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marchandises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dangereuses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par chemin de fer(Regulations Concerning the International Transport of Dangerous Goods by Rail)</w:t>
      </w:r>
    </w:p>
    <w:p w14:paraId="1E093B6E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IMDG: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Maritime Code for Dangerous Goods</w:t>
      </w:r>
    </w:p>
    <w:p w14:paraId="6339AC12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IATA: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Air Transport Association</w:t>
      </w:r>
    </w:p>
    <w:p w14:paraId="368B28D3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ICAO:</w:t>
      </w:r>
      <w:r w:rsidRPr="00EB0A05">
        <w:rPr>
          <w:rFonts w:ascii="Arial" w:hAnsi="Arial" w:cs="Arial"/>
          <w:sz w:val="24"/>
          <w:szCs w:val="24"/>
          <w:lang w:val="en-IN"/>
        </w:rPr>
        <w:t>International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Civil Aviation Organization</w:t>
      </w:r>
    </w:p>
    <w:p w14:paraId="13A9EAEA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GHS:</w:t>
      </w:r>
      <w:r w:rsidRPr="00EB0A05">
        <w:rPr>
          <w:rFonts w:ascii="Arial" w:hAnsi="Arial" w:cs="Arial"/>
          <w:sz w:val="24"/>
          <w:szCs w:val="24"/>
          <w:lang w:val="en-IN"/>
        </w:rPr>
        <w:t>Globally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Harmonized System of Classification and </w:t>
      </w:r>
      <w:proofErr w:type="spellStart"/>
      <w:r w:rsidRPr="00EB0A05">
        <w:rPr>
          <w:rFonts w:ascii="Arial" w:hAnsi="Arial" w:cs="Arial"/>
          <w:sz w:val="24"/>
          <w:szCs w:val="24"/>
          <w:lang w:val="en-IN"/>
        </w:rPr>
        <w:t>Labeling</w:t>
      </w:r>
      <w:proofErr w:type="spellEnd"/>
      <w:r w:rsidRPr="00EB0A05">
        <w:rPr>
          <w:rFonts w:ascii="Arial" w:hAnsi="Arial" w:cs="Arial"/>
          <w:sz w:val="24"/>
          <w:szCs w:val="24"/>
          <w:lang w:val="en-IN"/>
        </w:rPr>
        <w:t xml:space="preserve"> of Chemicals</w:t>
      </w:r>
    </w:p>
    <w:p w14:paraId="78A5D8B0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ACGIH:</w:t>
      </w:r>
      <w:r w:rsidRPr="00EB0A05">
        <w:rPr>
          <w:rFonts w:ascii="Arial" w:hAnsi="Arial" w:cs="Arial"/>
          <w:sz w:val="24"/>
          <w:szCs w:val="24"/>
          <w:lang w:val="en-IN"/>
        </w:rPr>
        <w:t>American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Conference of Governmental Industrial Hygienists</w:t>
      </w:r>
    </w:p>
    <w:p w14:paraId="0D76D54C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DNELL:</w:t>
      </w:r>
      <w:r w:rsidRPr="00EB0A05">
        <w:rPr>
          <w:rFonts w:ascii="Arial" w:hAnsi="Arial" w:cs="Arial"/>
          <w:sz w:val="24"/>
          <w:szCs w:val="24"/>
          <w:lang w:val="en-IN"/>
        </w:rPr>
        <w:t>Derived</w:t>
      </w:r>
      <w:proofErr w:type="spellEnd"/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No-Effect Level(REACH)</w:t>
      </w:r>
    </w:p>
    <w:p w14:paraId="22E173BE" w14:textId="77777777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b/>
          <w:bCs/>
          <w:sz w:val="24"/>
          <w:szCs w:val="24"/>
          <w:lang w:val="en-IN"/>
        </w:rPr>
        <w:t>LC</w:t>
      </w:r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50:</w:t>
      </w:r>
      <w:r w:rsidRPr="00EB0A05">
        <w:rPr>
          <w:rFonts w:ascii="Arial" w:hAnsi="Arial" w:cs="Arial"/>
          <w:sz w:val="24"/>
          <w:szCs w:val="24"/>
          <w:lang w:val="en-IN"/>
        </w:rPr>
        <w:t>Lethal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concentration,50percent</w:t>
      </w:r>
    </w:p>
    <w:p w14:paraId="43E20CB7" w14:textId="3E21FD2A" w:rsidR="009D35C9" w:rsidRPr="00EB0A05" w:rsidRDefault="009D35C9" w:rsidP="006C1ADB">
      <w:pPr>
        <w:ind w:left="360" w:hanging="360"/>
        <w:rPr>
          <w:rFonts w:ascii="Arial" w:hAnsi="Arial" w:cs="Arial"/>
          <w:sz w:val="24"/>
          <w:szCs w:val="24"/>
          <w:lang w:val="en-IN"/>
        </w:rPr>
      </w:pPr>
      <w:r w:rsidRPr="00EB0A05">
        <w:rPr>
          <w:rFonts w:ascii="Arial" w:hAnsi="Arial" w:cs="Arial"/>
          <w:b/>
          <w:bCs/>
          <w:sz w:val="24"/>
          <w:szCs w:val="24"/>
          <w:lang w:val="en-IN"/>
        </w:rPr>
        <w:t>LD</w:t>
      </w:r>
      <w:proofErr w:type="gramStart"/>
      <w:r w:rsidRPr="00EB0A05">
        <w:rPr>
          <w:rFonts w:ascii="Arial" w:hAnsi="Arial" w:cs="Arial"/>
          <w:b/>
          <w:bCs/>
          <w:sz w:val="24"/>
          <w:szCs w:val="24"/>
          <w:lang w:val="en-IN"/>
        </w:rPr>
        <w:t>50:</w:t>
      </w:r>
      <w:r w:rsidRPr="00EB0A05">
        <w:rPr>
          <w:rFonts w:ascii="Arial" w:hAnsi="Arial" w:cs="Arial"/>
          <w:sz w:val="24"/>
          <w:szCs w:val="24"/>
          <w:lang w:val="en-IN"/>
        </w:rPr>
        <w:t>lethal</w:t>
      </w:r>
      <w:proofErr w:type="gramEnd"/>
      <w:r w:rsidRPr="00EB0A05">
        <w:rPr>
          <w:rFonts w:ascii="Arial" w:hAnsi="Arial" w:cs="Arial"/>
          <w:sz w:val="24"/>
          <w:szCs w:val="24"/>
          <w:lang w:val="en-IN"/>
        </w:rPr>
        <w:t xml:space="preserve"> dose,50 percent</w:t>
      </w:r>
    </w:p>
    <w:sectPr w:rsidR="009D35C9" w:rsidRPr="00EB0A05" w:rsidSect="00F71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552" w:right="720" w:bottom="720" w:left="72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DD92" w14:textId="77777777" w:rsidR="001252CE" w:rsidRDefault="001252CE" w:rsidP="003A602A">
      <w:r>
        <w:separator/>
      </w:r>
    </w:p>
  </w:endnote>
  <w:endnote w:type="continuationSeparator" w:id="0">
    <w:p w14:paraId="5CE0DB62" w14:textId="77777777" w:rsidR="001252CE" w:rsidRDefault="001252CE" w:rsidP="003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6A80" w14:textId="77777777" w:rsidR="00CB1E0B" w:rsidRDefault="00CB1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457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C90F4" w14:textId="02AB9832" w:rsidR="00E201D6" w:rsidRDefault="00E201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871FE" w14:textId="77777777" w:rsidR="00E201D6" w:rsidRDefault="00E20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88A" w14:textId="77777777" w:rsidR="00CB1E0B" w:rsidRDefault="00CB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A635" w14:textId="77777777" w:rsidR="001252CE" w:rsidRDefault="001252CE" w:rsidP="003A602A">
      <w:r>
        <w:separator/>
      </w:r>
    </w:p>
  </w:footnote>
  <w:footnote w:type="continuationSeparator" w:id="0">
    <w:p w14:paraId="5E4DE81C" w14:textId="77777777" w:rsidR="001252CE" w:rsidRDefault="001252CE" w:rsidP="003A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DF7A" w14:textId="77777777" w:rsidR="00CB1E0B" w:rsidRDefault="00CB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7F3" w14:textId="1E0C63D3" w:rsidR="00D92E8E" w:rsidRPr="00AA409A" w:rsidRDefault="00D92E8E" w:rsidP="00AA409A">
    <w:pPr>
      <w:pStyle w:val="Header"/>
      <w:ind w:right="-720"/>
      <w:jc w:val="center"/>
      <w:rPr>
        <w:rStyle w:val="SubtleReference"/>
      </w:rPr>
    </w:pPr>
    <w:r w:rsidRPr="00AA409A">
      <w:rPr>
        <w:rStyle w:val="SubtleReference"/>
        <w:noProof/>
      </w:rPr>
      <w:drawing>
        <wp:anchor distT="0" distB="0" distL="114300" distR="114300" simplePos="0" relativeHeight="251658240" behindDoc="0" locked="0" layoutInCell="1" allowOverlap="1" wp14:anchorId="23E33E5B" wp14:editId="0AD61E8D">
          <wp:simplePos x="0" y="0"/>
          <wp:positionH relativeFrom="column">
            <wp:posOffset>-260581</wp:posOffset>
          </wp:positionH>
          <wp:positionV relativeFrom="paragraph">
            <wp:posOffset>-58651</wp:posOffset>
          </wp:positionV>
          <wp:extent cx="1311563" cy="1055099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4" t="-726" r="-1" b="-4584"/>
                  <a:stretch/>
                </pic:blipFill>
                <pic:spPr bwMode="auto">
                  <a:xfrm>
                    <a:off x="0" y="0"/>
                    <a:ext cx="1311563" cy="1055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409A">
      <w:rPr>
        <w:rStyle w:val="SubtleReference"/>
      </w:rPr>
      <w:t>PLANET NAILS DISTRIBUTION PTY LTD</w:t>
    </w:r>
  </w:p>
  <w:p w14:paraId="5C5E5664" w14:textId="2D1D44D8" w:rsidR="004C1573" w:rsidRPr="00AA409A" w:rsidRDefault="004C1573" w:rsidP="00AA409A">
    <w:pPr>
      <w:pStyle w:val="ListParagraph"/>
    </w:pPr>
    <w:r w:rsidRPr="00AA409A">
      <w:t xml:space="preserve">8 </w:t>
    </w:r>
    <w:proofErr w:type="spellStart"/>
    <w:r w:rsidRPr="00AA409A">
      <w:t>Conara</w:t>
    </w:r>
    <w:proofErr w:type="spellEnd"/>
    <w:r w:rsidRPr="00AA409A">
      <w:t xml:space="preserve"> Road, </w:t>
    </w:r>
    <w:proofErr w:type="spellStart"/>
    <w:r w:rsidRPr="00AA409A">
      <w:t>Kunda</w:t>
    </w:r>
    <w:proofErr w:type="spellEnd"/>
    <w:r w:rsidRPr="00AA409A">
      <w:t xml:space="preserve"> Park, 4556 Queensland Australia.</w:t>
    </w:r>
  </w:p>
  <w:p w14:paraId="56E6E69D" w14:textId="0E7E8D2D" w:rsidR="004C1573" w:rsidRPr="00AA409A" w:rsidRDefault="004C1573" w:rsidP="00AA409A">
    <w:pPr>
      <w:pStyle w:val="ListParagraph"/>
    </w:pPr>
    <w:r w:rsidRPr="00AA409A">
      <w:rPr>
        <w:b/>
        <w:bCs/>
      </w:rPr>
      <w:t>Phone:</w:t>
    </w:r>
    <w:r w:rsidRPr="00AA409A">
      <w:t xml:space="preserve"> </w:t>
    </w:r>
    <w:r w:rsidR="00CB1E0B" w:rsidRPr="00CB1E0B">
      <w:t xml:space="preserve">(07) 5211 </w:t>
    </w:r>
    <w:proofErr w:type="gramStart"/>
    <w:r w:rsidR="00CB1E0B" w:rsidRPr="00CB1E0B">
      <w:t>0031</w:t>
    </w:r>
    <w:r w:rsidRPr="00AA409A">
      <w:t xml:space="preserve">  </w:t>
    </w:r>
    <w:r w:rsidRPr="00AA409A">
      <w:rPr>
        <w:b/>
        <w:bCs/>
      </w:rPr>
      <w:t>Email</w:t>
    </w:r>
    <w:proofErr w:type="gramEnd"/>
    <w:r w:rsidRPr="00AA409A">
      <w:rPr>
        <w:b/>
        <w:bCs/>
      </w:rPr>
      <w:t>:</w:t>
    </w:r>
    <w:r w:rsidRPr="00AA409A">
      <w:t xml:space="preserve"> info@planetnails.com.au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524A" w14:textId="77777777" w:rsidR="00CB1E0B" w:rsidRDefault="00CB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4A"/>
    <w:multiLevelType w:val="hybridMultilevel"/>
    <w:tmpl w:val="246A43A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906BA"/>
    <w:multiLevelType w:val="hybridMultilevel"/>
    <w:tmpl w:val="34B2FE88"/>
    <w:lvl w:ilvl="0" w:tplc="5F3876D8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F24"/>
    <w:multiLevelType w:val="hybridMultilevel"/>
    <w:tmpl w:val="AF1EB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3BD9"/>
    <w:multiLevelType w:val="hybridMultilevel"/>
    <w:tmpl w:val="4E0A6D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DA"/>
    <w:rsid w:val="00006519"/>
    <w:rsid w:val="0002013D"/>
    <w:rsid w:val="0003736F"/>
    <w:rsid w:val="000664DE"/>
    <w:rsid w:val="00073640"/>
    <w:rsid w:val="0008252D"/>
    <w:rsid w:val="00092014"/>
    <w:rsid w:val="000B731F"/>
    <w:rsid w:val="000C0250"/>
    <w:rsid w:val="000C466E"/>
    <w:rsid w:val="000D282E"/>
    <w:rsid w:val="001048F4"/>
    <w:rsid w:val="001138CF"/>
    <w:rsid w:val="00121FC1"/>
    <w:rsid w:val="001252CE"/>
    <w:rsid w:val="00132649"/>
    <w:rsid w:val="001609F9"/>
    <w:rsid w:val="00164A86"/>
    <w:rsid w:val="00167805"/>
    <w:rsid w:val="00172074"/>
    <w:rsid w:val="00172EE7"/>
    <w:rsid w:val="001A2487"/>
    <w:rsid w:val="001F5D4C"/>
    <w:rsid w:val="00212840"/>
    <w:rsid w:val="002479AE"/>
    <w:rsid w:val="00254DDE"/>
    <w:rsid w:val="0026163C"/>
    <w:rsid w:val="00264BF5"/>
    <w:rsid w:val="00273B4D"/>
    <w:rsid w:val="002E1ECC"/>
    <w:rsid w:val="002F10F6"/>
    <w:rsid w:val="00313229"/>
    <w:rsid w:val="003321EB"/>
    <w:rsid w:val="003571ED"/>
    <w:rsid w:val="0036511E"/>
    <w:rsid w:val="003724C6"/>
    <w:rsid w:val="003A602A"/>
    <w:rsid w:val="003C2C90"/>
    <w:rsid w:val="003D1EF3"/>
    <w:rsid w:val="003D6D3A"/>
    <w:rsid w:val="00401EBF"/>
    <w:rsid w:val="00421419"/>
    <w:rsid w:val="0042278C"/>
    <w:rsid w:val="004253DA"/>
    <w:rsid w:val="004377EC"/>
    <w:rsid w:val="0044049C"/>
    <w:rsid w:val="00440FAA"/>
    <w:rsid w:val="00465A72"/>
    <w:rsid w:val="004956D9"/>
    <w:rsid w:val="004A58A3"/>
    <w:rsid w:val="004B53BD"/>
    <w:rsid w:val="004B547C"/>
    <w:rsid w:val="004C1573"/>
    <w:rsid w:val="004E3348"/>
    <w:rsid w:val="004F67BF"/>
    <w:rsid w:val="0051371B"/>
    <w:rsid w:val="00572A32"/>
    <w:rsid w:val="0057546E"/>
    <w:rsid w:val="005B38C0"/>
    <w:rsid w:val="005C4862"/>
    <w:rsid w:val="005D2369"/>
    <w:rsid w:val="005E0FF8"/>
    <w:rsid w:val="005E4E83"/>
    <w:rsid w:val="006127DE"/>
    <w:rsid w:val="00645541"/>
    <w:rsid w:val="0064670E"/>
    <w:rsid w:val="006644A4"/>
    <w:rsid w:val="006A4B80"/>
    <w:rsid w:val="006B1383"/>
    <w:rsid w:val="006C1ADB"/>
    <w:rsid w:val="006E6134"/>
    <w:rsid w:val="006F0BBE"/>
    <w:rsid w:val="00721DF1"/>
    <w:rsid w:val="0073237D"/>
    <w:rsid w:val="00747816"/>
    <w:rsid w:val="0075496F"/>
    <w:rsid w:val="00762C5E"/>
    <w:rsid w:val="007673C8"/>
    <w:rsid w:val="00773F14"/>
    <w:rsid w:val="0079158D"/>
    <w:rsid w:val="007B2B53"/>
    <w:rsid w:val="007D08B2"/>
    <w:rsid w:val="007E029F"/>
    <w:rsid w:val="007F74F2"/>
    <w:rsid w:val="008438BE"/>
    <w:rsid w:val="00857381"/>
    <w:rsid w:val="00864AF5"/>
    <w:rsid w:val="00872665"/>
    <w:rsid w:val="00873AD3"/>
    <w:rsid w:val="008839A5"/>
    <w:rsid w:val="00885906"/>
    <w:rsid w:val="008B2B13"/>
    <w:rsid w:val="008C77C9"/>
    <w:rsid w:val="008D46F7"/>
    <w:rsid w:val="008D67F8"/>
    <w:rsid w:val="009018B0"/>
    <w:rsid w:val="009104DA"/>
    <w:rsid w:val="00921344"/>
    <w:rsid w:val="00926894"/>
    <w:rsid w:val="00932B4E"/>
    <w:rsid w:val="00944FF8"/>
    <w:rsid w:val="009462B5"/>
    <w:rsid w:val="0094632F"/>
    <w:rsid w:val="009522C7"/>
    <w:rsid w:val="00963CF5"/>
    <w:rsid w:val="009A2423"/>
    <w:rsid w:val="009B69DB"/>
    <w:rsid w:val="009C3D81"/>
    <w:rsid w:val="009D35C9"/>
    <w:rsid w:val="009E150F"/>
    <w:rsid w:val="009E6310"/>
    <w:rsid w:val="009F7850"/>
    <w:rsid w:val="00A143EC"/>
    <w:rsid w:val="00A2106B"/>
    <w:rsid w:val="00A403F4"/>
    <w:rsid w:val="00A60059"/>
    <w:rsid w:val="00A62FBC"/>
    <w:rsid w:val="00AA409A"/>
    <w:rsid w:val="00AB3749"/>
    <w:rsid w:val="00AB6094"/>
    <w:rsid w:val="00AD0210"/>
    <w:rsid w:val="00AD3963"/>
    <w:rsid w:val="00AE36EB"/>
    <w:rsid w:val="00AE7225"/>
    <w:rsid w:val="00AF3BCD"/>
    <w:rsid w:val="00B111B8"/>
    <w:rsid w:val="00B2158C"/>
    <w:rsid w:val="00B60719"/>
    <w:rsid w:val="00B61608"/>
    <w:rsid w:val="00B6574D"/>
    <w:rsid w:val="00B85092"/>
    <w:rsid w:val="00B9554F"/>
    <w:rsid w:val="00BF01CF"/>
    <w:rsid w:val="00C2452A"/>
    <w:rsid w:val="00C31D3D"/>
    <w:rsid w:val="00C42888"/>
    <w:rsid w:val="00C818A0"/>
    <w:rsid w:val="00C91755"/>
    <w:rsid w:val="00C96A1E"/>
    <w:rsid w:val="00CB1E0B"/>
    <w:rsid w:val="00CE0624"/>
    <w:rsid w:val="00CE2650"/>
    <w:rsid w:val="00D0759B"/>
    <w:rsid w:val="00D178B1"/>
    <w:rsid w:val="00D21FEA"/>
    <w:rsid w:val="00D3602D"/>
    <w:rsid w:val="00D430F7"/>
    <w:rsid w:val="00D44D7F"/>
    <w:rsid w:val="00D53E8D"/>
    <w:rsid w:val="00D741FA"/>
    <w:rsid w:val="00D805A9"/>
    <w:rsid w:val="00D92E8E"/>
    <w:rsid w:val="00D95385"/>
    <w:rsid w:val="00DA203D"/>
    <w:rsid w:val="00DA64C9"/>
    <w:rsid w:val="00DB2F99"/>
    <w:rsid w:val="00DB3D6A"/>
    <w:rsid w:val="00DB6007"/>
    <w:rsid w:val="00DE69A4"/>
    <w:rsid w:val="00DE69BA"/>
    <w:rsid w:val="00DF7A98"/>
    <w:rsid w:val="00E074F9"/>
    <w:rsid w:val="00E2008F"/>
    <w:rsid w:val="00E201D6"/>
    <w:rsid w:val="00E36E38"/>
    <w:rsid w:val="00E44B26"/>
    <w:rsid w:val="00E4547E"/>
    <w:rsid w:val="00E50A28"/>
    <w:rsid w:val="00E6005F"/>
    <w:rsid w:val="00E63BCD"/>
    <w:rsid w:val="00E67987"/>
    <w:rsid w:val="00E7425C"/>
    <w:rsid w:val="00E93559"/>
    <w:rsid w:val="00EB0A05"/>
    <w:rsid w:val="00EC6780"/>
    <w:rsid w:val="00EE2F84"/>
    <w:rsid w:val="00F05520"/>
    <w:rsid w:val="00F078C5"/>
    <w:rsid w:val="00F11744"/>
    <w:rsid w:val="00F155E2"/>
    <w:rsid w:val="00F2417D"/>
    <w:rsid w:val="00F24811"/>
    <w:rsid w:val="00F53CE5"/>
    <w:rsid w:val="00F64E5E"/>
    <w:rsid w:val="00F71501"/>
    <w:rsid w:val="00FA03CE"/>
    <w:rsid w:val="00FA0403"/>
    <w:rsid w:val="00FD235C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E732"/>
  <w15:chartTrackingRefBased/>
  <w15:docId w15:val="{38065D90-0B5B-402C-A13E-D6B505F6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2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9DB"/>
    <w:pPr>
      <w:shd w:val="clear" w:color="auto" w:fill="0070C0"/>
      <w:spacing w:before="240" w:after="240"/>
      <w:ind w:right="-24"/>
      <w:outlineLvl w:val="0"/>
    </w:pPr>
    <w:rPr>
      <w:rFonts w:ascii="Arial" w:hAnsi="Arial" w:cs="Arial"/>
      <w:b/>
      <w:bCs/>
      <w:color w:val="FFFFFF" w:themeColor="background1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29F"/>
    <w:pPr>
      <w:keepNext/>
      <w:keepLines/>
      <w:shd w:val="clear" w:color="auto" w:fill="F2F2F2" w:themeFill="background1" w:themeFillShade="F2"/>
      <w:spacing w:before="120" w:after="120"/>
      <w:jc w:val="left"/>
      <w:outlineLvl w:val="1"/>
    </w:pPr>
    <w:rPr>
      <w:rFonts w:ascii="Arial" w:eastAsiaTheme="majorEastAsia" w:hAnsi="Arial" w:cs="Arial"/>
      <w:color w:val="0070C0"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8E"/>
  </w:style>
  <w:style w:type="paragraph" w:styleId="Footer">
    <w:name w:val="footer"/>
    <w:basedOn w:val="Normal"/>
    <w:link w:val="FooterChar"/>
    <w:uiPriority w:val="99"/>
    <w:unhideWhenUsed/>
    <w:rsid w:val="00D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8E"/>
  </w:style>
  <w:style w:type="paragraph" w:styleId="Title">
    <w:name w:val="Title"/>
    <w:basedOn w:val="Normal"/>
    <w:next w:val="Normal"/>
    <w:link w:val="TitleChar"/>
    <w:uiPriority w:val="10"/>
    <w:qFormat/>
    <w:rsid w:val="00F24811"/>
    <w:pPr>
      <w:spacing w:after="0" w:line="240" w:lineRule="auto"/>
      <w:contextualSpacing/>
      <w:jc w:val="center"/>
    </w:pPr>
    <w:rPr>
      <w:rFonts w:ascii="Bahnschrift" w:eastAsiaTheme="majorEastAsia" w:hAnsi="Bahnschrift" w:cstheme="majorBidi"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811"/>
    <w:rPr>
      <w:rFonts w:ascii="Bahnschrift" w:eastAsiaTheme="majorEastAsia" w:hAnsi="Bahnschrift" w:cstheme="majorBidi"/>
      <w:color w:val="0070C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69DB"/>
    <w:rPr>
      <w:rFonts w:ascii="Arial" w:hAnsi="Arial" w:cs="Arial"/>
      <w:b/>
      <w:bCs/>
      <w:color w:val="FFFFFF" w:themeColor="background1"/>
      <w:sz w:val="32"/>
      <w:szCs w:val="32"/>
      <w:shd w:val="clear" w:color="auto" w:fill="0070C0"/>
      <w:lang w:val="en-IN"/>
    </w:rPr>
  </w:style>
  <w:style w:type="table" w:styleId="TableGrid">
    <w:name w:val="Table Grid"/>
    <w:basedOn w:val="TableNormal"/>
    <w:uiPriority w:val="39"/>
    <w:rsid w:val="00DB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029F"/>
    <w:rPr>
      <w:rFonts w:ascii="Arial" w:eastAsiaTheme="majorEastAsia" w:hAnsi="Arial" w:cs="Arial"/>
      <w:color w:val="0070C0"/>
      <w:sz w:val="28"/>
      <w:szCs w:val="28"/>
      <w:shd w:val="clear" w:color="auto" w:fill="F2F2F2" w:themeFill="background1" w:themeFillShade="F2"/>
      <w:lang w:val="en-IN"/>
    </w:rPr>
  </w:style>
  <w:style w:type="paragraph" w:customStyle="1" w:styleId="TableParagraph">
    <w:name w:val="Table Paragraph"/>
    <w:basedOn w:val="Normal"/>
    <w:uiPriority w:val="1"/>
    <w:qFormat/>
    <w:rsid w:val="003A602A"/>
    <w:pPr>
      <w:widowControl w:val="0"/>
      <w:autoSpaceDE w:val="0"/>
      <w:autoSpaceDN w:val="0"/>
      <w:spacing w:after="0" w:line="225" w:lineRule="exact"/>
      <w:ind w:left="112"/>
    </w:pPr>
    <w:rPr>
      <w:rFonts w:ascii="Arial" w:eastAsia="Arial" w:hAnsi="Arial" w:cs="Arial"/>
      <w:lang w:val="en-AU"/>
    </w:rPr>
  </w:style>
  <w:style w:type="character" w:styleId="SubtleReference">
    <w:name w:val="Subtle Reference"/>
    <w:uiPriority w:val="31"/>
    <w:qFormat/>
    <w:rsid w:val="00AA409A"/>
    <w:rPr>
      <w:rFonts w:ascii="Bahnschrift" w:hAnsi="Bahnschrift"/>
      <w:b/>
      <w:bCs/>
      <w:color w:val="FF00FF"/>
      <w:sz w:val="44"/>
      <w:szCs w:val="44"/>
      <w14:textFill>
        <w14:gradFill>
          <w14:gsLst>
            <w14:gs w14:pos="0">
              <w14:srgbClr w14:val="FF00FF">
                <w14:shade w14:val="30000"/>
                <w14:satMod w14:val="115000"/>
              </w14:srgbClr>
            </w14:gs>
            <w14:gs w14:pos="50000">
              <w14:srgbClr w14:val="7030A0"/>
            </w14:gs>
            <w14:gs w14:pos="100000">
              <w14:srgbClr w14:val="0070C0"/>
            </w14:gs>
          </w14:gsLst>
          <w14:lin w14:ang="1350000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AA409A"/>
    <w:pPr>
      <w:ind w:left="567"/>
      <w:jc w:val="center"/>
    </w:pPr>
    <w:rPr>
      <w:rFonts w:ascii="Bahnschrift" w:hAnsi="Bahnschrift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D02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021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383"/>
    <w:pPr>
      <w:keepNext/>
      <w:keepLines/>
      <w:shd w:val="clear" w:color="auto" w:fill="auto"/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049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371E-CDE7-466E-A6D9-89960BB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yaseen muhammad</dc:creator>
  <cp:keywords/>
  <dc:description/>
  <cp:lastModifiedBy>Daniela</cp:lastModifiedBy>
  <cp:revision>2</cp:revision>
  <cp:lastPrinted>2022-04-04T18:24:00Z</cp:lastPrinted>
  <dcterms:created xsi:type="dcterms:W3CDTF">2022-04-06T02:56:00Z</dcterms:created>
  <dcterms:modified xsi:type="dcterms:W3CDTF">2022-04-06T02:56:00Z</dcterms:modified>
</cp:coreProperties>
</file>